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BB9" w:rsidRDefault="003C3BB9" w:rsidP="003C3BB9">
      <w:pPr>
        <w:spacing w:after="0" w:line="240" w:lineRule="auto"/>
        <w:jc w:val="both"/>
        <w:rPr>
          <w:rFonts w:ascii="Arial" w:hAnsi="Arial" w:cs="Arial"/>
          <w:sz w:val="24"/>
          <w:szCs w:val="24"/>
        </w:rPr>
      </w:pPr>
    </w:p>
    <w:p w:rsidR="005E7254" w:rsidRPr="005E7254" w:rsidRDefault="005E7254" w:rsidP="005E7254">
      <w:pPr>
        <w:widowControl w:val="0"/>
        <w:autoSpaceDE w:val="0"/>
        <w:autoSpaceDN w:val="0"/>
        <w:adjustRightInd w:val="0"/>
        <w:spacing w:after="0" w:line="240" w:lineRule="auto"/>
        <w:jc w:val="both"/>
        <w:rPr>
          <w:rFonts w:ascii="Arial" w:eastAsiaTheme="minorEastAsia" w:hAnsi="Arial" w:cs="Arial"/>
          <w:b/>
          <w:color w:val="000000"/>
          <w:sz w:val="24"/>
          <w:szCs w:val="24"/>
          <w:lang w:eastAsia="en-GB"/>
        </w:rPr>
      </w:pPr>
      <w:r w:rsidRPr="005E7254">
        <w:rPr>
          <w:rFonts w:ascii="Arial" w:eastAsiaTheme="minorEastAsia" w:hAnsi="Arial" w:cs="Arial"/>
          <w:b/>
          <w:color w:val="000000"/>
          <w:sz w:val="24"/>
          <w:szCs w:val="24"/>
          <w:lang w:eastAsia="en-GB"/>
        </w:rPr>
        <w:t xml:space="preserve">Objective </w:t>
      </w:r>
    </w:p>
    <w:p w:rsidR="005E7254" w:rsidRPr="005E7254" w:rsidRDefault="005E7254" w:rsidP="005E7254">
      <w:pPr>
        <w:widowControl w:val="0"/>
        <w:numPr>
          <w:ilvl w:val="0"/>
          <w:numId w:val="25"/>
        </w:numPr>
        <w:autoSpaceDE w:val="0"/>
        <w:autoSpaceDN w:val="0"/>
        <w:adjustRightInd w:val="0"/>
        <w:spacing w:after="0" w:line="240" w:lineRule="auto"/>
        <w:contextualSpacing/>
        <w:jc w:val="both"/>
        <w:rPr>
          <w:rFonts w:ascii="Arial" w:eastAsiaTheme="minorEastAsia" w:hAnsi="Arial" w:cs="Arial"/>
          <w:b/>
          <w:color w:val="000000"/>
          <w:sz w:val="24"/>
          <w:szCs w:val="24"/>
          <w:lang w:eastAsia="en-GB"/>
        </w:rPr>
      </w:pPr>
      <w:r w:rsidRPr="005E7254">
        <w:rPr>
          <w:rFonts w:ascii="Arial" w:eastAsiaTheme="minorEastAsia" w:hAnsi="Arial" w:cs="Arial"/>
          <w:color w:val="000000"/>
          <w:sz w:val="24"/>
          <w:szCs w:val="24"/>
          <w:lang w:eastAsia="en-GB"/>
        </w:rPr>
        <w:t xml:space="preserve">This Record of Processing Activities (Record) describes how </w:t>
      </w:r>
      <w:r w:rsidRPr="005E7254">
        <w:rPr>
          <w:rFonts w:ascii="Arial" w:eastAsiaTheme="minorEastAsia" w:hAnsi="Arial" w:cs="Arial"/>
          <w:sz w:val="24"/>
          <w:szCs w:val="24"/>
          <w:lang w:eastAsia="en-GB"/>
        </w:rPr>
        <w:t xml:space="preserve">the practice processes </w:t>
      </w:r>
      <w:r w:rsidRPr="005E7254">
        <w:rPr>
          <w:rFonts w:ascii="Arial" w:eastAsiaTheme="minorEastAsia" w:hAnsi="Arial" w:cs="Arial"/>
          <w:color w:val="000000"/>
          <w:sz w:val="24"/>
          <w:szCs w:val="24"/>
          <w:lang w:eastAsia="en-GB"/>
        </w:rPr>
        <w:t xml:space="preserve">personal data. </w:t>
      </w:r>
    </w:p>
    <w:p w:rsidR="005E7254" w:rsidRPr="005E7254" w:rsidRDefault="005E7254" w:rsidP="005E7254">
      <w:pPr>
        <w:widowControl w:val="0"/>
        <w:autoSpaceDE w:val="0"/>
        <w:autoSpaceDN w:val="0"/>
        <w:adjustRightInd w:val="0"/>
        <w:spacing w:after="0" w:line="240" w:lineRule="auto"/>
        <w:ind w:left="360"/>
        <w:contextualSpacing/>
        <w:jc w:val="both"/>
        <w:rPr>
          <w:rFonts w:ascii="Arial" w:eastAsiaTheme="minorEastAsia" w:hAnsi="Arial" w:cs="Arial"/>
          <w:b/>
          <w:color w:val="000000"/>
          <w:sz w:val="24"/>
          <w:szCs w:val="24"/>
          <w:lang w:eastAsia="en-GB"/>
        </w:rPr>
      </w:pPr>
    </w:p>
    <w:p w:rsidR="005E7254" w:rsidRPr="005E7254" w:rsidRDefault="005E7254" w:rsidP="005E7254">
      <w:pPr>
        <w:widowControl w:val="0"/>
        <w:numPr>
          <w:ilvl w:val="0"/>
          <w:numId w:val="25"/>
        </w:numPr>
        <w:autoSpaceDE w:val="0"/>
        <w:autoSpaceDN w:val="0"/>
        <w:adjustRightInd w:val="0"/>
        <w:spacing w:after="0" w:line="240" w:lineRule="auto"/>
        <w:contextualSpacing/>
        <w:jc w:val="both"/>
        <w:rPr>
          <w:rFonts w:ascii="Arial" w:eastAsiaTheme="minorEastAsia" w:hAnsi="Arial" w:cs="Arial"/>
          <w:b/>
          <w:color w:val="000000"/>
          <w:sz w:val="24"/>
          <w:szCs w:val="24"/>
          <w:lang w:eastAsia="en-GB"/>
        </w:rPr>
      </w:pPr>
      <w:r w:rsidRPr="005E7254">
        <w:rPr>
          <w:rFonts w:ascii="Arial" w:eastAsiaTheme="minorEastAsia" w:hAnsi="Arial" w:cs="Arial"/>
          <w:color w:val="000000"/>
          <w:sz w:val="24"/>
          <w:szCs w:val="24"/>
          <w:lang w:eastAsia="en-GB"/>
        </w:rPr>
        <w:t>We recognise that Article 30 of the EU General Data Protection Regulation (GDPR) imposes documentation requirements on controllers and processors of data. This Record is company confidential information but we will provide it to the appropriate supervisory authority on request as required by Article 30.</w:t>
      </w:r>
    </w:p>
    <w:p w:rsidR="005E7254" w:rsidRPr="005E7254" w:rsidRDefault="005E7254" w:rsidP="005E7254">
      <w:pPr>
        <w:widowControl w:val="0"/>
        <w:autoSpaceDE w:val="0"/>
        <w:autoSpaceDN w:val="0"/>
        <w:adjustRightInd w:val="0"/>
        <w:spacing w:after="0" w:line="240" w:lineRule="auto"/>
        <w:jc w:val="both"/>
        <w:rPr>
          <w:rFonts w:ascii="Arial" w:eastAsiaTheme="minorEastAsia" w:hAnsi="Arial" w:cs="Arial"/>
          <w:b/>
          <w:color w:val="000000"/>
          <w:sz w:val="24"/>
          <w:szCs w:val="24"/>
          <w:lang w:eastAsia="en-GB"/>
        </w:rPr>
      </w:pPr>
    </w:p>
    <w:p w:rsidR="005E7254" w:rsidRPr="005E7254" w:rsidRDefault="005E7254" w:rsidP="005E7254">
      <w:pPr>
        <w:widowControl w:val="0"/>
        <w:autoSpaceDE w:val="0"/>
        <w:autoSpaceDN w:val="0"/>
        <w:adjustRightInd w:val="0"/>
        <w:spacing w:after="0" w:line="240" w:lineRule="auto"/>
        <w:jc w:val="both"/>
        <w:rPr>
          <w:rFonts w:ascii="Arial" w:eastAsiaTheme="minorEastAsia" w:hAnsi="Arial" w:cs="Arial"/>
          <w:b/>
          <w:color w:val="000000"/>
          <w:sz w:val="24"/>
          <w:szCs w:val="24"/>
          <w:lang w:eastAsia="en-GB"/>
        </w:rPr>
      </w:pPr>
      <w:r w:rsidRPr="005E7254">
        <w:rPr>
          <w:rFonts w:ascii="Arial" w:eastAsiaTheme="minorEastAsia" w:hAnsi="Arial" w:cs="Arial"/>
          <w:b/>
          <w:color w:val="000000"/>
          <w:sz w:val="24"/>
          <w:szCs w:val="24"/>
          <w:lang w:eastAsia="en-GB"/>
        </w:rPr>
        <w:t>Data Controller Details</w:t>
      </w:r>
    </w:p>
    <w:p w:rsidR="005E7254" w:rsidRPr="005E7254" w:rsidRDefault="005E7254" w:rsidP="005E7254">
      <w:pPr>
        <w:widowControl w:val="0"/>
        <w:numPr>
          <w:ilvl w:val="0"/>
          <w:numId w:val="25"/>
        </w:numPr>
        <w:autoSpaceDE w:val="0"/>
        <w:autoSpaceDN w:val="0"/>
        <w:adjustRightInd w:val="0"/>
        <w:spacing w:after="0" w:line="240" w:lineRule="auto"/>
        <w:contextualSpacing/>
        <w:jc w:val="both"/>
        <w:rPr>
          <w:rFonts w:ascii="Arial" w:eastAsiaTheme="minorEastAsia" w:hAnsi="Arial" w:cs="Arial"/>
          <w:b/>
          <w:color w:val="000000"/>
          <w:sz w:val="24"/>
          <w:szCs w:val="24"/>
          <w:lang w:eastAsia="en-GB"/>
        </w:rPr>
      </w:pPr>
      <w:r w:rsidRPr="005E7254">
        <w:rPr>
          <w:rFonts w:ascii="Arial" w:eastAsiaTheme="minorEastAsia" w:hAnsi="Arial" w:cs="Arial"/>
          <w:color w:val="000000"/>
          <w:sz w:val="24"/>
          <w:szCs w:val="24"/>
          <w:lang w:eastAsia="en-GB"/>
        </w:rPr>
        <w:t>The details of the practices data controller are: -</w:t>
      </w:r>
    </w:p>
    <w:p w:rsidR="005E7254" w:rsidRPr="005E7254" w:rsidRDefault="005E7254" w:rsidP="005E7254">
      <w:pPr>
        <w:widowControl w:val="0"/>
        <w:autoSpaceDE w:val="0"/>
        <w:autoSpaceDN w:val="0"/>
        <w:adjustRightInd w:val="0"/>
        <w:spacing w:after="0" w:line="240" w:lineRule="auto"/>
        <w:jc w:val="both"/>
        <w:rPr>
          <w:rFonts w:ascii="Arial" w:eastAsiaTheme="minorEastAsia" w:hAnsi="Arial" w:cs="Arial"/>
          <w:b/>
          <w:color w:val="000000"/>
          <w:sz w:val="24"/>
          <w:szCs w:val="24"/>
          <w:lang w:eastAsia="en-GB"/>
        </w:rPr>
      </w:pPr>
    </w:p>
    <w:p w:rsidR="00D86A35" w:rsidRPr="00D86A35" w:rsidRDefault="005E7254" w:rsidP="00D86A35">
      <w:pPr>
        <w:spacing w:after="0" w:line="240" w:lineRule="auto"/>
        <w:ind w:left="360"/>
        <w:contextualSpacing/>
        <w:rPr>
          <w:rFonts w:ascii="Arial" w:eastAsia="Calibri" w:hAnsi="Arial" w:cs="Arial"/>
          <w:color w:val="FF0000"/>
          <w:sz w:val="24"/>
          <w:szCs w:val="24"/>
        </w:rPr>
      </w:pPr>
      <w:r w:rsidRPr="005E7254">
        <w:rPr>
          <w:rFonts w:ascii="Arial" w:eastAsiaTheme="minorEastAsia" w:hAnsi="Arial" w:cs="Arial"/>
          <w:color w:val="000000"/>
          <w:sz w:val="24"/>
          <w:szCs w:val="24"/>
          <w:lang w:eastAsia="en-GB"/>
        </w:rPr>
        <w:t> </w:t>
      </w:r>
      <w:r w:rsidRPr="005E7254">
        <w:rPr>
          <w:rFonts w:ascii="Arial" w:eastAsiaTheme="minorEastAsia" w:hAnsi="Arial" w:cs="Arial"/>
          <w:color w:val="000000"/>
          <w:sz w:val="24"/>
          <w:szCs w:val="24"/>
          <w:lang w:eastAsia="en-GB"/>
        </w:rPr>
        <w:tab/>
      </w:r>
      <w:r w:rsidR="00D86A35" w:rsidRPr="00D86A35">
        <w:rPr>
          <w:rFonts w:ascii="Arial" w:eastAsia="Calibri" w:hAnsi="Arial" w:cs="Arial"/>
          <w:sz w:val="24"/>
          <w:szCs w:val="24"/>
        </w:rPr>
        <w:t xml:space="preserve">Joanna Fox </w:t>
      </w:r>
      <w:hyperlink r:id="rId9" w:history="1">
        <w:r w:rsidR="00D86A35" w:rsidRPr="00D86A35">
          <w:rPr>
            <w:rStyle w:val="Hyperlink"/>
            <w:rFonts w:ascii="Arial" w:eastAsia="Calibri" w:hAnsi="Arial" w:cs="Arial"/>
            <w:sz w:val="24"/>
            <w:szCs w:val="24"/>
          </w:rPr>
          <w:t>nhccg.whitewaterhealth@nhs.net</w:t>
        </w:r>
      </w:hyperlink>
      <w:r w:rsidR="00D86A35" w:rsidRPr="00D86A35">
        <w:rPr>
          <w:rFonts w:ascii="Arial" w:eastAsia="Calibri" w:hAnsi="Arial" w:cs="Arial"/>
          <w:color w:val="FF0000"/>
          <w:sz w:val="24"/>
          <w:szCs w:val="24"/>
        </w:rPr>
        <w:t xml:space="preserve"> </w:t>
      </w:r>
    </w:p>
    <w:p w:rsidR="00D86A35" w:rsidRPr="00D86A35" w:rsidRDefault="00D86A35" w:rsidP="00D86A35">
      <w:pPr>
        <w:spacing w:after="0" w:line="240" w:lineRule="auto"/>
        <w:ind w:firstLine="720"/>
        <w:contextualSpacing/>
        <w:jc w:val="both"/>
        <w:rPr>
          <w:rFonts w:ascii="Arial" w:eastAsia="Calibri" w:hAnsi="Arial" w:cs="Arial"/>
          <w:sz w:val="24"/>
          <w:szCs w:val="24"/>
        </w:rPr>
      </w:pPr>
      <w:r w:rsidRPr="00D86A35">
        <w:rPr>
          <w:rFonts w:ascii="Arial" w:eastAsia="Calibri" w:hAnsi="Arial" w:cs="Arial"/>
          <w:sz w:val="24"/>
          <w:szCs w:val="24"/>
        </w:rPr>
        <w:t xml:space="preserve">Whitewater Health </w:t>
      </w:r>
    </w:p>
    <w:p w:rsidR="00D86A35" w:rsidRPr="00D86A35" w:rsidRDefault="00D86A35" w:rsidP="00D86A35">
      <w:pPr>
        <w:spacing w:after="0" w:line="240" w:lineRule="auto"/>
        <w:ind w:firstLine="720"/>
        <w:contextualSpacing/>
        <w:jc w:val="both"/>
        <w:rPr>
          <w:rFonts w:ascii="Arial" w:eastAsia="Calibri" w:hAnsi="Arial" w:cs="Arial"/>
          <w:sz w:val="24"/>
          <w:szCs w:val="24"/>
        </w:rPr>
      </w:pPr>
      <w:r w:rsidRPr="00D86A35">
        <w:rPr>
          <w:rFonts w:ascii="Arial" w:eastAsia="Calibri" w:hAnsi="Arial" w:cs="Arial"/>
          <w:sz w:val="24"/>
          <w:szCs w:val="24"/>
        </w:rPr>
        <w:t>1 Chapter Terrace, Hartley Wintney, Hants, RG27 8QJ</w:t>
      </w:r>
    </w:p>
    <w:p w:rsidR="005E7254" w:rsidRPr="005E7254" w:rsidRDefault="005E7254" w:rsidP="00D86A35">
      <w:pPr>
        <w:widowControl w:val="0"/>
        <w:autoSpaceDE w:val="0"/>
        <w:autoSpaceDN w:val="0"/>
        <w:adjustRightInd w:val="0"/>
        <w:spacing w:after="0" w:line="240" w:lineRule="auto"/>
        <w:jc w:val="both"/>
        <w:rPr>
          <w:rFonts w:ascii="Arial" w:eastAsiaTheme="minorEastAsia" w:hAnsi="Arial" w:cs="Arial"/>
          <w:color w:val="000000"/>
          <w:sz w:val="24"/>
          <w:szCs w:val="24"/>
          <w:lang w:eastAsia="en-GB"/>
        </w:rPr>
      </w:pPr>
      <w:r w:rsidRPr="005E7254">
        <w:rPr>
          <w:rFonts w:ascii="Arial" w:eastAsiaTheme="minorEastAsia" w:hAnsi="Arial" w:cs="Arial"/>
          <w:color w:val="000000"/>
          <w:sz w:val="24"/>
          <w:szCs w:val="24"/>
          <w:lang w:eastAsia="en-GB"/>
        </w:rPr>
        <w:t> </w:t>
      </w:r>
      <w:r w:rsidR="00D86A35" w:rsidRPr="00D86A35">
        <w:rPr>
          <w:rFonts w:ascii="Arial" w:eastAsiaTheme="minorEastAsia" w:hAnsi="Arial" w:cs="Arial"/>
          <w:color w:val="000000"/>
          <w:sz w:val="24"/>
          <w:szCs w:val="24"/>
          <w:lang w:eastAsia="en-GB"/>
        </w:rPr>
        <w:tab/>
      </w:r>
      <w:hyperlink r:id="rId10" w:history="1">
        <w:r w:rsidR="00D86A35" w:rsidRPr="00D86A35">
          <w:rPr>
            <w:rStyle w:val="Hyperlink"/>
            <w:rFonts w:ascii="Arial" w:hAnsi="Arial" w:cs="Arial"/>
            <w:sz w:val="24"/>
            <w:szCs w:val="24"/>
          </w:rPr>
          <w:t>https://www.whitewaterhealth.nhs.uk/</w:t>
        </w:r>
      </w:hyperlink>
      <w:r w:rsidR="00D86A35" w:rsidRPr="00D86A35">
        <w:rPr>
          <w:rFonts w:ascii="Arial" w:hAnsi="Arial" w:cs="Arial"/>
          <w:sz w:val="24"/>
          <w:szCs w:val="24"/>
        </w:rPr>
        <w:t xml:space="preserve"> </w:t>
      </w:r>
    </w:p>
    <w:p w:rsidR="005E7254" w:rsidRPr="005E7254" w:rsidRDefault="005E7254" w:rsidP="005E7254">
      <w:pPr>
        <w:widowControl w:val="0"/>
        <w:autoSpaceDE w:val="0"/>
        <w:autoSpaceDN w:val="0"/>
        <w:adjustRightInd w:val="0"/>
        <w:spacing w:after="0" w:line="240" w:lineRule="auto"/>
        <w:ind w:left="720"/>
        <w:jc w:val="both"/>
        <w:rPr>
          <w:rFonts w:ascii="Arial" w:eastAsiaTheme="minorEastAsia" w:hAnsi="Arial" w:cs="Arial"/>
          <w:color w:val="000000"/>
          <w:sz w:val="24"/>
          <w:szCs w:val="24"/>
          <w:lang w:eastAsia="en-GB"/>
        </w:rPr>
      </w:pPr>
      <w:r w:rsidRPr="005E7254">
        <w:rPr>
          <w:rFonts w:ascii="Arial" w:eastAsiaTheme="minorEastAsia" w:hAnsi="Arial" w:cs="Arial"/>
          <w:color w:val="000000"/>
          <w:sz w:val="24"/>
          <w:szCs w:val="24"/>
          <w:lang w:eastAsia="en-GB"/>
        </w:rPr>
        <w:t> </w:t>
      </w:r>
    </w:p>
    <w:p w:rsidR="005E7254" w:rsidRPr="005E7254" w:rsidRDefault="005E7254" w:rsidP="005E7254">
      <w:pPr>
        <w:widowControl w:val="0"/>
        <w:autoSpaceDE w:val="0"/>
        <w:autoSpaceDN w:val="0"/>
        <w:adjustRightInd w:val="0"/>
        <w:spacing w:after="0" w:line="240" w:lineRule="auto"/>
        <w:jc w:val="both"/>
        <w:rPr>
          <w:rFonts w:ascii="Arial" w:eastAsiaTheme="minorEastAsia" w:hAnsi="Arial" w:cs="Arial"/>
          <w:color w:val="000000"/>
          <w:sz w:val="24"/>
          <w:szCs w:val="24"/>
          <w:lang w:eastAsia="en-GB"/>
        </w:rPr>
      </w:pPr>
      <w:r w:rsidRPr="005E7254">
        <w:rPr>
          <w:rFonts w:ascii="Arial" w:eastAsiaTheme="minorEastAsia" w:hAnsi="Arial" w:cs="Arial"/>
          <w:b/>
          <w:bCs/>
          <w:color w:val="000000"/>
          <w:sz w:val="24"/>
          <w:szCs w:val="24"/>
          <w:lang w:eastAsia="en-GB"/>
        </w:rPr>
        <w:t>Categories of Data Subjects</w:t>
      </w:r>
      <w:r w:rsidRPr="005E7254">
        <w:rPr>
          <w:rFonts w:ascii="Arial" w:eastAsiaTheme="minorEastAsia" w:hAnsi="Arial" w:cs="Arial"/>
          <w:color w:val="000000"/>
          <w:sz w:val="24"/>
          <w:szCs w:val="24"/>
          <w:lang w:eastAsia="en-GB"/>
        </w:rPr>
        <w:t>  </w:t>
      </w:r>
    </w:p>
    <w:p w:rsidR="005E7254" w:rsidRPr="005E7254" w:rsidRDefault="005E7254" w:rsidP="005E7254">
      <w:pPr>
        <w:widowControl w:val="0"/>
        <w:numPr>
          <w:ilvl w:val="0"/>
          <w:numId w:val="25"/>
        </w:numPr>
        <w:autoSpaceDE w:val="0"/>
        <w:autoSpaceDN w:val="0"/>
        <w:adjustRightInd w:val="0"/>
        <w:spacing w:after="0" w:line="240" w:lineRule="auto"/>
        <w:contextualSpacing/>
        <w:jc w:val="both"/>
        <w:rPr>
          <w:rFonts w:ascii="Arial" w:eastAsiaTheme="minorEastAsia" w:hAnsi="Arial" w:cs="Arial"/>
          <w:color w:val="000000"/>
          <w:sz w:val="24"/>
          <w:szCs w:val="24"/>
          <w:lang w:eastAsia="en-GB"/>
        </w:rPr>
      </w:pPr>
      <w:r w:rsidRPr="005E7254">
        <w:rPr>
          <w:rFonts w:ascii="Arial" w:eastAsiaTheme="minorEastAsia" w:hAnsi="Arial" w:cs="Arial"/>
          <w:color w:val="000000"/>
          <w:sz w:val="24"/>
          <w:szCs w:val="24"/>
          <w:lang w:eastAsia="en-GB"/>
        </w:rPr>
        <w:t>The practice collects personal data from the following categories of data subjects: -</w:t>
      </w:r>
    </w:p>
    <w:p w:rsidR="005E7254" w:rsidRPr="005E7254" w:rsidRDefault="005E7254" w:rsidP="005E7254">
      <w:pPr>
        <w:widowControl w:val="0"/>
        <w:autoSpaceDE w:val="0"/>
        <w:autoSpaceDN w:val="0"/>
        <w:adjustRightInd w:val="0"/>
        <w:spacing w:after="0" w:line="240" w:lineRule="auto"/>
        <w:ind w:left="792"/>
        <w:contextualSpacing/>
        <w:jc w:val="both"/>
        <w:rPr>
          <w:rFonts w:ascii="Arial" w:eastAsiaTheme="minorEastAsia" w:hAnsi="Arial" w:cs="Arial"/>
          <w:color w:val="000000"/>
          <w:sz w:val="24"/>
          <w:szCs w:val="24"/>
          <w:lang w:eastAsia="en-GB"/>
        </w:rPr>
      </w:pPr>
    </w:p>
    <w:p w:rsidR="005E7254" w:rsidRPr="005E7254" w:rsidRDefault="005E7254" w:rsidP="005E7254">
      <w:pPr>
        <w:widowControl w:val="0"/>
        <w:numPr>
          <w:ilvl w:val="2"/>
          <w:numId w:val="27"/>
        </w:numPr>
        <w:autoSpaceDE w:val="0"/>
        <w:autoSpaceDN w:val="0"/>
        <w:adjustRightInd w:val="0"/>
        <w:spacing w:after="0" w:line="240" w:lineRule="auto"/>
        <w:contextualSpacing/>
        <w:jc w:val="both"/>
        <w:rPr>
          <w:rFonts w:ascii="Arial" w:eastAsiaTheme="minorEastAsia" w:hAnsi="Arial" w:cs="Arial"/>
          <w:color w:val="000000"/>
          <w:sz w:val="24"/>
          <w:szCs w:val="24"/>
          <w:lang w:eastAsia="en-GB"/>
        </w:rPr>
      </w:pPr>
      <w:r w:rsidRPr="005E7254">
        <w:rPr>
          <w:rFonts w:ascii="Arial" w:eastAsiaTheme="minorEastAsia" w:hAnsi="Arial" w:cs="Arial"/>
          <w:color w:val="000000"/>
          <w:sz w:val="24"/>
          <w:szCs w:val="24"/>
          <w:lang w:eastAsia="en-GB"/>
        </w:rPr>
        <w:t xml:space="preserve"> The Practice’s patients</w:t>
      </w:r>
    </w:p>
    <w:p w:rsidR="005E7254" w:rsidRPr="005E7254" w:rsidRDefault="005E7254" w:rsidP="005E7254">
      <w:pPr>
        <w:widowControl w:val="0"/>
        <w:numPr>
          <w:ilvl w:val="2"/>
          <w:numId w:val="27"/>
        </w:numPr>
        <w:autoSpaceDE w:val="0"/>
        <w:autoSpaceDN w:val="0"/>
        <w:adjustRightInd w:val="0"/>
        <w:spacing w:after="0" w:line="240" w:lineRule="auto"/>
        <w:contextualSpacing/>
        <w:jc w:val="both"/>
        <w:rPr>
          <w:rFonts w:ascii="Arial" w:eastAsiaTheme="minorEastAsia" w:hAnsi="Arial" w:cs="Arial"/>
          <w:color w:val="000000"/>
          <w:sz w:val="24"/>
          <w:szCs w:val="24"/>
          <w:lang w:eastAsia="en-GB"/>
        </w:rPr>
      </w:pPr>
      <w:r w:rsidRPr="005E7254">
        <w:rPr>
          <w:rFonts w:ascii="Arial" w:eastAsiaTheme="minorEastAsia" w:hAnsi="Arial" w:cs="Arial"/>
          <w:color w:val="000000"/>
          <w:sz w:val="24"/>
          <w:szCs w:val="24"/>
          <w:lang w:eastAsia="en-GB"/>
        </w:rPr>
        <w:t xml:space="preserve"> The Practice’s customers or consumers</w:t>
      </w:r>
    </w:p>
    <w:p w:rsidR="005E7254" w:rsidRPr="005E7254" w:rsidRDefault="005E7254" w:rsidP="005E7254">
      <w:pPr>
        <w:widowControl w:val="0"/>
        <w:numPr>
          <w:ilvl w:val="2"/>
          <w:numId w:val="27"/>
        </w:numPr>
        <w:autoSpaceDE w:val="0"/>
        <w:autoSpaceDN w:val="0"/>
        <w:adjustRightInd w:val="0"/>
        <w:spacing w:after="0" w:line="240" w:lineRule="auto"/>
        <w:contextualSpacing/>
        <w:jc w:val="both"/>
        <w:rPr>
          <w:rFonts w:ascii="Arial" w:eastAsiaTheme="minorEastAsia" w:hAnsi="Arial" w:cs="Arial"/>
          <w:color w:val="000000"/>
          <w:sz w:val="24"/>
          <w:szCs w:val="24"/>
          <w:lang w:eastAsia="en-GB"/>
        </w:rPr>
      </w:pPr>
      <w:r w:rsidRPr="005E7254">
        <w:rPr>
          <w:rFonts w:ascii="Arial" w:eastAsiaTheme="minorEastAsia" w:hAnsi="Arial" w:cs="Arial"/>
          <w:color w:val="000000"/>
          <w:sz w:val="24"/>
          <w:szCs w:val="24"/>
          <w:lang w:eastAsia="en-GB"/>
        </w:rPr>
        <w:t xml:space="preserve"> The Practice’s vendors or suppliers</w:t>
      </w:r>
    </w:p>
    <w:p w:rsidR="005E7254" w:rsidRPr="005E7254" w:rsidRDefault="005E7254" w:rsidP="005E7254">
      <w:pPr>
        <w:widowControl w:val="0"/>
        <w:numPr>
          <w:ilvl w:val="2"/>
          <w:numId w:val="27"/>
        </w:numPr>
        <w:autoSpaceDE w:val="0"/>
        <w:autoSpaceDN w:val="0"/>
        <w:adjustRightInd w:val="0"/>
        <w:spacing w:after="0" w:line="240" w:lineRule="auto"/>
        <w:contextualSpacing/>
        <w:jc w:val="both"/>
        <w:rPr>
          <w:rFonts w:ascii="Arial" w:eastAsiaTheme="minorEastAsia" w:hAnsi="Arial" w:cs="Arial"/>
          <w:color w:val="000000"/>
          <w:sz w:val="24"/>
          <w:szCs w:val="24"/>
          <w:lang w:eastAsia="en-GB"/>
        </w:rPr>
      </w:pPr>
      <w:r w:rsidRPr="005E7254">
        <w:rPr>
          <w:rFonts w:ascii="Arial" w:eastAsiaTheme="minorEastAsia" w:hAnsi="Arial" w:cs="Arial"/>
          <w:color w:val="000000"/>
          <w:sz w:val="24"/>
          <w:szCs w:val="24"/>
          <w:lang w:eastAsia="en-GB"/>
        </w:rPr>
        <w:t xml:space="preserve"> The Practice’s employees and job applicants.</w:t>
      </w:r>
    </w:p>
    <w:p w:rsidR="005E7254" w:rsidRPr="005E7254" w:rsidRDefault="005E7254" w:rsidP="005E7254">
      <w:pPr>
        <w:widowControl w:val="0"/>
        <w:autoSpaceDE w:val="0"/>
        <w:autoSpaceDN w:val="0"/>
        <w:adjustRightInd w:val="0"/>
        <w:spacing w:after="0" w:line="240" w:lineRule="auto"/>
        <w:ind w:left="1224"/>
        <w:contextualSpacing/>
        <w:jc w:val="both"/>
        <w:rPr>
          <w:rFonts w:ascii="Arial" w:eastAsiaTheme="minorEastAsia" w:hAnsi="Arial" w:cs="Arial"/>
          <w:color w:val="000000"/>
          <w:sz w:val="24"/>
          <w:szCs w:val="24"/>
          <w:lang w:eastAsia="en-GB"/>
        </w:rPr>
      </w:pPr>
    </w:p>
    <w:p w:rsidR="005E7254" w:rsidRPr="005E7254" w:rsidRDefault="005E7254" w:rsidP="005E7254">
      <w:pPr>
        <w:widowControl w:val="0"/>
        <w:autoSpaceDE w:val="0"/>
        <w:autoSpaceDN w:val="0"/>
        <w:adjustRightInd w:val="0"/>
        <w:spacing w:after="0" w:line="240" w:lineRule="auto"/>
        <w:rPr>
          <w:rFonts w:ascii="Arial" w:eastAsiaTheme="minorEastAsia" w:hAnsi="Arial" w:cs="Arial"/>
          <w:color w:val="000000"/>
          <w:sz w:val="24"/>
          <w:szCs w:val="24"/>
          <w:lang w:eastAsia="en-GB"/>
        </w:rPr>
      </w:pPr>
      <w:r w:rsidRPr="005E7254">
        <w:rPr>
          <w:rFonts w:ascii="Arial" w:eastAsiaTheme="minorEastAsia" w:hAnsi="Arial" w:cs="Arial"/>
          <w:b/>
          <w:bCs/>
          <w:color w:val="000000"/>
          <w:sz w:val="24"/>
          <w:szCs w:val="24"/>
          <w:lang w:eastAsia="en-GB"/>
        </w:rPr>
        <w:t>Categories of Personal Data</w:t>
      </w:r>
      <w:r w:rsidRPr="005E7254">
        <w:rPr>
          <w:rFonts w:ascii="Arial" w:eastAsiaTheme="minorEastAsia" w:hAnsi="Arial" w:cs="Arial"/>
          <w:color w:val="000000"/>
          <w:sz w:val="24"/>
          <w:szCs w:val="24"/>
          <w:lang w:eastAsia="en-GB"/>
        </w:rPr>
        <w:t>  </w:t>
      </w:r>
    </w:p>
    <w:p w:rsidR="005E7254" w:rsidRPr="005E7254" w:rsidRDefault="005E7254" w:rsidP="005E7254">
      <w:pPr>
        <w:widowControl w:val="0"/>
        <w:numPr>
          <w:ilvl w:val="0"/>
          <w:numId w:val="25"/>
        </w:numPr>
        <w:autoSpaceDE w:val="0"/>
        <w:autoSpaceDN w:val="0"/>
        <w:adjustRightInd w:val="0"/>
        <w:spacing w:after="0" w:line="240" w:lineRule="auto"/>
        <w:contextualSpacing/>
        <w:rPr>
          <w:rFonts w:ascii="Arial" w:eastAsiaTheme="minorEastAsia" w:hAnsi="Arial" w:cs="Arial"/>
          <w:color w:val="000000"/>
          <w:sz w:val="24"/>
          <w:szCs w:val="24"/>
          <w:lang w:eastAsia="en-GB"/>
        </w:rPr>
      </w:pPr>
      <w:r w:rsidRPr="005E7254">
        <w:rPr>
          <w:rFonts w:ascii="Arial" w:eastAsiaTheme="minorEastAsia" w:hAnsi="Arial" w:cs="Arial"/>
          <w:color w:val="000000"/>
          <w:sz w:val="24"/>
          <w:szCs w:val="24"/>
          <w:lang w:eastAsia="en-GB"/>
        </w:rPr>
        <w:t xml:space="preserve">The Practice collects the following categories of personal data about its patients: - </w:t>
      </w:r>
    </w:p>
    <w:p w:rsidR="005E7254" w:rsidRPr="005E7254" w:rsidRDefault="005E7254" w:rsidP="005E7254">
      <w:pPr>
        <w:widowControl w:val="0"/>
        <w:autoSpaceDE w:val="0"/>
        <w:autoSpaceDN w:val="0"/>
        <w:adjustRightInd w:val="0"/>
        <w:spacing w:after="0" w:line="240" w:lineRule="auto"/>
        <w:ind w:left="792"/>
        <w:contextualSpacing/>
        <w:rPr>
          <w:rFonts w:ascii="Arial" w:eastAsiaTheme="minorEastAsia" w:hAnsi="Arial" w:cs="Arial"/>
          <w:color w:val="000000"/>
          <w:sz w:val="24"/>
          <w:szCs w:val="24"/>
          <w:lang w:eastAsia="en-GB"/>
        </w:rPr>
      </w:pPr>
    </w:p>
    <w:p w:rsidR="005E7254" w:rsidRPr="00D86A35" w:rsidRDefault="005E7254" w:rsidP="00D86A35">
      <w:pPr>
        <w:pStyle w:val="ListParagraph"/>
        <w:numPr>
          <w:ilvl w:val="0"/>
          <w:numId w:val="30"/>
        </w:numPr>
        <w:spacing w:line="240" w:lineRule="auto"/>
        <w:jc w:val="both"/>
        <w:rPr>
          <w:rFonts w:eastAsiaTheme="minorEastAsia"/>
          <w:sz w:val="24"/>
          <w:szCs w:val="24"/>
          <w:lang w:eastAsia="en-GB"/>
        </w:rPr>
      </w:pPr>
      <w:r w:rsidRPr="00D86A35">
        <w:rPr>
          <w:rFonts w:eastAsiaTheme="minorEastAsia"/>
          <w:sz w:val="24"/>
          <w:szCs w:val="24"/>
          <w:lang w:eastAsia="en-GB"/>
        </w:rPr>
        <w:t>Address, legal representative, emergency contact details</w:t>
      </w:r>
    </w:p>
    <w:p w:rsidR="005E7254" w:rsidRPr="00D86A35" w:rsidRDefault="005E7254" w:rsidP="00D86A35">
      <w:pPr>
        <w:pStyle w:val="ListParagraph"/>
        <w:numPr>
          <w:ilvl w:val="0"/>
          <w:numId w:val="30"/>
        </w:numPr>
        <w:spacing w:line="240" w:lineRule="auto"/>
        <w:jc w:val="both"/>
        <w:rPr>
          <w:rFonts w:eastAsiaTheme="minorEastAsia"/>
          <w:sz w:val="24"/>
          <w:szCs w:val="24"/>
          <w:lang w:eastAsia="en-GB"/>
        </w:rPr>
      </w:pPr>
      <w:r w:rsidRPr="00D86A35">
        <w:rPr>
          <w:rFonts w:eastAsiaTheme="minorEastAsia"/>
          <w:sz w:val="24"/>
          <w:szCs w:val="24"/>
          <w:lang w:eastAsia="en-GB"/>
        </w:rPr>
        <w:t>Any contact the surgery has had with the patient, such as appointments, clinic visits, emergency appointments, etc.</w:t>
      </w:r>
    </w:p>
    <w:p w:rsidR="005E7254" w:rsidRPr="00D86A35" w:rsidRDefault="005E7254" w:rsidP="00D86A35">
      <w:pPr>
        <w:pStyle w:val="ListParagraph"/>
        <w:numPr>
          <w:ilvl w:val="0"/>
          <w:numId w:val="30"/>
        </w:numPr>
        <w:spacing w:line="240" w:lineRule="auto"/>
        <w:jc w:val="both"/>
        <w:rPr>
          <w:rFonts w:eastAsiaTheme="minorEastAsia"/>
          <w:sz w:val="24"/>
          <w:szCs w:val="24"/>
          <w:lang w:eastAsia="en-GB"/>
        </w:rPr>
      </w:pPr>
      <w:r w:rsidRPr="00D86A35">
        <w:rPr>
          <w:rFonts w:eastAsiaTheme="minorEastAsia"/>
          <w:sz w:val="24"/>
          <w:szCs w:val="24"/>
          <w:lang w:eastAsia="en-GB"/>
        </w:rPr>
        <w:t>Notes and reports about the patient’s health</w:t>
      </w:r>
    </w:p>
    <w:p w:rsidR="005E7254" w:rsidRPr="00D86A35" w:rsidRDefault="005E7254" w:rsidP="00D86A35">
      <w:pPr>
        <w:pStyle w:val="ListParagraph"/>
        <w:numPr>
          <w:ilvl w:val="0"/>
          <w:numId w:val="30"/>
        </w:numPr>
        <w:spacing w:line="240" w:lineRule="auto"/>
        <w:jc w:val="both"/>
        <w:rPr>
          <w:rFonts w:eastAsiaTheme="minorEastAsia"/>
          <w:sz w:val="24"/>
          <w:szCs w:val="24"/>
          <w:lang w:eastAsia="en-GB"/>
        </w:rPr>
      </w:pPr>
      <w:r w:rsidRPr="00D86A35">
        <w:rPr>
          <w:rFonts w:eastAsiaTheme="minorEastAsia"/>
          <w:sz w:val="24"/>
          <w:szCs w:val="24"/>
          <w:lang w:eastAsia="en-GB"/>
        </w:rPr>
        <w:t>Details about the patient’s treatment and care</w:t>
      </w:r>
    </w:p>
    <w:p w:rsidR="005E7254" w:rsidRPr="00D86A35" w:rsidRDefault="005E7254" w:rsidP="00D86A35">
      <w:pPr>
        <w:pStyle w:val="ListParagraph"/>
        <w:numPr>
          <w:ilvl w:val="0"/>
          <w:numId w:val="30"/>
        </w:numPr>
        <w:spacing w:line="240" w:lineRule="auto"/>
        <w:jc w:val="both"/>
        <w:rPr>
          <w:rFonts w:eastAsiaTheme="minorEastAsia"/>
          <w:sz w:val="24"/>
          <w:szCs w:val="24"/>
          <w:lang w:eastAsia="en-GB"/>
        </w:rPr>
      </w:pPr>
      <w:r w:rsidRPr="00D86A35">
        <w:rPr>
          <w:rFonts w:eastAsiaTheme="minorEastAsia"/>
          <w:sz w:val="24"/>
          <w:szCs w:val="24"/>
          <w:lang w:eastAsia="en-GB"/>
        </w:rPr>
        <w:t xml:space="preserve">Results of investigations such as laboratory tests, x-rays </w:t>
      </w:r>
      <w:proofErr w:type="spellStart"/>
      <w:r w:rsidRPr="00D86A35">
        <w:rPr>
          <w:rFonts w:eastAsiaTheme="minorEastAsia"/>
          <w:sz w:val="24"/>
          <w:szCs w:val="24"/>
          <w:lang w:eastAsia="en-GB"/>
        </w:rPr>
        <w:t>etc</w:t>
      </w:r>
      <w:proofErr w:type="spellEnd"/>
    </w:p>
    <w:p w:rsidR="005E7254" w:rsidRPr="00D86A35" w:rsidRDefault="005E7254" w:rsidP="00D86A35">
      <w:pPr>
        <w:pStyle w:val="ListParagraph"/>
        <w:numPr>
          <w:ilvl w:val="0"/>
          <w:numId w:val="30"/>
        </w:numPr>
        <w:spacing w:line="240" w:lineRule="auto"/>
        <w:jc w:val="both"/>
        <w:rPr>
          <w:rFonts w:eastAsiaTheme="minorEastAsia"/>
          <w:sz w:val="24"/>
          <w:szCs w:val="24"/>
          <w:lang w:eastAsia="en-GB"/>
        </w:rPr>
      </w:pPr>
      <w:r w:rsidRPr="00D86A35">
        <w:rPr>
          <w:rFonts w:eastAsiaTheme="minorEastAsia"/>
          <w:sz w:val="24"/>
          <w:szCs w:val="24"/>
          <w:lang w:eastAsia="en-GB"/>
        </w:rPr>
        <w:t>Relevant information from other health professionals, relatives or those who care for the patient</w:t>
      </w:r>
    </w:p>
    <w:p w:rsidR="005E7254" w:rsidRPr="00D86A35" w:rsidRDefault="005E7254" w:rsidP="00D86A35">
      <w:pPr>
        <w:pStyle w:val="ListParagraph"/>
        <w:numPr>
          <w:ilvl w:val="0"/>
          <w:numId w:val="30"/>
        </w:numPr>
        <w:spacing w:line="240" w:lineRule="auto"/>
        <w:jc w:val="both"/>
        <w:rPr>
          <w:rFonts w:eastAsiaTheme="minorEastAsia"/>
          <w:sz w:val="24"/>
          <w:szCs w:val="24"/>
          <w:lang w:eastAsia="en-GB"/>
        </w:rPr>
      </w:pPr>
      <w:r w:rsidRPr="00D86A35">
        <w:rPr>
          <w:rFonts w:eastAsiaTheme="minorEastAsia"/>
          <w:sz w:val="24"/>
          <w:szCs w:val="24"/>
          <w:lang w:eastAsia="en-GB"/>
        </w:rPr>
        <w:t>The patient’s records will be retained in accordance with the NHS Code of Practice for Records Management</w:t>
      </w:r>
    </w:p>
    <w:p w:rsidR="005E7254" w:rsidRPr="005E7254" w:rsidRDefault="005E7254" w:rsidP="005E7254">
      <w:pPr>
        <w:spacing w:after="0" w:line="240" w:lineRule="auto"/>
        <w:ind w:left="720"/>
        <w:contextualSpacing/>
        <w:rPr>
          <w:rFonts w:ascii="Arial" w:eastAsiaTheme="minorEastAsia" w:hAnsi="Arial" w:cs="Arial"/>
          <w:color w:val="000000"/>
          <w:sz w:val="24"/>
          <w:szCs w:val="24"/>
          <w:lang w:eastAsia="en-GB"/>
        </w:rPr>
      </w:pPr>
    </w:p>
    <w:p w:rsidR="005E7254" w:rsidRPr="005E7254" w:rsidRDefault="005E7254" w:rsidP="005E7254">
      <w:pPr>
        <w:widowControl w:val="0"/>
        <w:numPr>
          <w:ilvl w:val="0"/>
          <w:numId w:val="25"/>
        </w:numPr>
        <w:autoSpaceDE w:val="0"/>
        <w:autoSpaceDN w:val="0"/>
        <w:adjustRightInd w:val="0"/>
        <w:spacing w:after="0" w:line="240" w:lineRule="auto"/>
        <w:contextualSpacing/>
        <w:rPr>
          <w:rFonts w:ascii="Arial" w:eastAsiaTheme="minorEastAsia" w:hAnsi="Arial" w:cs="Arial"/>
          <w:color w:val="000000"/>
          <w:sz w:val="24"/>
          <w:szCs w:val="24"/>
          <w:lang w:eastAsia="en-GB"/>
        </w:rPr>
      </w:pPr>
      <w:r w:rsidRPr="005E7254">
        <w:rPr>
          <w:rFonts w:ascii="Arial" w:eastAsiaTheme="minorEastAsia" w:hAnsi="Arial" w:cs="Arial"/>
          <w:color w:val="000000"/>
          <w:sz w:val="24"/>
          <w:szCs w:val="24"/>
          <w:lang w:eastAsia="en-GB"/>
        </w:rPr>
        <w:t>The Practice collects the following categories of personal data about employees and job applicants: -</w:t>
      </w:r>
    </w:p>
    <w:p w:rsidR="005E7254" w:rsidRPr="005E7254" w:rsidRDefault="005E7254" w:rsidP="005E7254">
      <w:pPr>
        <w:spacing w:after="0" w:line="240" w:lineRule="auto"/>
        <w:ind w:left="720"/>
        <w:contextualSpacing/>
        <w:rPr>
          <w:rFonts w:ascii="Arial" w:eastAsiaTheme="minorEastAsia" w:hAnsi="Arial" w:cs="Arial"/>
          <w:color w:val="000000"/>
          <w:sz w:val="24"/>
          <w:szCs w:val="24"/>
          <w:lang w:eastAsia="en-GB"/>
        </w:rPr>
      </w:pPr>
    </w:p>
    <w:p w:rsidR="005E7254" w:rsidRPr="00D86A35" w:rsidRDefault="005E7254" w:rsidP="00D86A35">
      <w:pPr>
        <w:pStyle w:val="ListParagraph"/>
        <w:widowControl w:val="0"/>
        <w:numPr>
          <w:ilvl w:val="0"/>
          <w:numId w:val="31"/>
        </w:numPr>
        <w:autoSpaceDE w:val="0"/>
        <w:autoSpaceDN w:val="0"/>
        <w:adjustRightInd w:val="0"/>
        <w:spacing w:line="240" w:lineRule="auto"/>
        <w:rPr>
          <w:rFonts w:eastAsiaTheme="minorEastAsia"/>
          <w:sz w:val="24"/>
          <w:szCs w:val="24"/>
          <w:lang w:eastAsia="en-GB"/>
        </w:rPr>
      </w:pPr>
      <w:r w:rsidRPr="00D86A35">
        <w:rPr>
          <w:rFonts w:eastAsiaTheme="minorEastAsia"/>
          <w:sz w:val="24"/>
          <w:szCs w:val="24"/>
          <w:lang w:eastAsia="en-GB"/>
        </w:rPr>
        <w:t xml:space="preserve">Personal details including name and contact information including name, title, address, telephone number, personal email address, date of birth, gender, employment history, qualifications. </w:t>
      </w:r>
    </w:p>
    <w:p w:rsidR="005E7254" w:rsidRPr="005E7254" w:rsidRDefault="005E7254" w:rsidP="005E7254">
      <w:pPr>
        <w:widowControl w:val="0"/>
        <w:autoSpaceDE w:val="0"/>
        <w:autoSpaceDN w:val="0"/>
        <w:adjustRightInd w:val="0"/>
        <w:spacing w:after="0" w:line="240" w:lineRule="auto"/>
        <w:jc w:val="both"/>
        <w:rPr>
          <w:rFonts w:ascii="Arial" w:eastAsiaTheme="minorEastAsia" w:hAnsi="Arial" w:cs="Arial"/>
          <w:b/>
          <w:bCs/>
          <w:color w:val="000000"/>
          <w:sz w:val="24"/>
          <w:szCs w:val="24"/>
          <w:u w:val="single"/>
          <w:lang w:eastAsia="en-GB"/>
        </w:rPr>
      </w:pPr>
    </w:p>
    <w:p w:rsidR="00D86A35" w:rsidRDefault="00D86A35" w:rsidP="005E7254">
      <w:pPr>
        <w:widowControl w:val="0"/>
        <w:autoSpaceDE w:val="0"/>
        <w:autoSpaceDN w:val="0"/>
        <w:adjustRightInd w:val="0"/>
        <w:spacing w:after="0" w:line="240" w:lineRule="auto"/>
        <w:jc w:val="both"/>
        <w:rPr>
          <w:rFonts w:ascii="Arial" w:eastAsiaTheme="minorEastAsia" w:hAnsi="Arial" w:cs="Arial"/>
          <w:b/>
          <w:bCs/>
          <w:color w:val="000000"/>
          <w:sz w:val="24"/>
          <w:szCs w:val="24"/>
          <w:lang w:eastAsia="en-GB"/>
        </w:rPr>
      </w:pPr>
    </w:p>
    <w:p w:rsidR="00D86A35" w:rsidRDefault="00D86A35" w:rsidP="005E7254">
      <w:pPr>
        <w:widowControl w:val="0"/>
        <w:autoSpaceDE w:val="0"/>
        <w:autoSpaceDN w:val="0"/>
        <w:adjustRightInd w:val="0"/>
        <w:spacing w:after="0" w:line="240" w:lineRule="auto"/>
        <w:jc w:val="both"/>
        <w:rPr>
          <w:rFonts w:ascii="Arial" w:eastAsiaTheme="minorEastAsia" w:hAnsi="Arial" w:cs="Arial"/>
          <w:b/>
          <w:bCs/>
          <w:color w:val="000000"/>
          <w:sz w:val="24"/>
          <w:szCs w:val="24"/>
          <w:lang w:eastAsia="en-GB"/>
        </w:rPr>
      </w:pPr>
    </w:p>
    <w:p w:rsidR="005E7254" w:rsidRPr="005E7254" w:rsidRDefault="005E7254" w:rsidP="005E7254">
      <w:pPr>
        <w:widowControl w:val="0"/>
        <w:autoSpaceDE w:val="0"/>
        <w:autoSpaceDN w:val="0"/>
        <w:adjustRightInd w:val="0"/>
        <w:spacing w:after="0" w:line="240" w:lineRule="auto"/>
        <w:jc w:val="both"/>
        <w:rPr>
          <w:rFonts w:ascii="Arial" w:eastAsiaTheme="minorEastAsia" w:hAnsi="Arial" w:cs="Arial"/>
          <w:color w:val="000000"/>
          <w:sz w:val="24"/>
          <w:szCs w:val="24"/>
          <w:lang w:eastAsia="en-GB"/>
        </w:rPr>
      </w:pPr>
      <w:r w:rsidRPr="005E7254">
        <w:rPr>
          <w:rFonts w:ascii="Arial" w:eastAsiaTheme="minorEastAsia" w:hAnsi="Arial" w:cs="Arial"/>
          <w:b/>
          <w:bCs/>
          <w:color w:val="000000"/>
          <w:sz w:val="24"/>
          <w:szCs w:val="24"/>
          <w:lang w:eastAsia="en-GB"/>
        </w:rPr>
        <w:lastRenderedPageBreak/>
        <w:t>Categories of Personal Data Recipients</w:t>
      </w:r>
      <w:r w:rsidRPr="005E7254">
        <w:rPr>
          <w:rFonts w:ascii="Arial" w:eastAsiaTheme="minorEastAsia" w:hAnsi="Arial" w:cs="Arial"/>
          <w:color w:val="000000"/>
          <w:sz w:val="24"/>
          <w:szCs w:val="24"/>
          <w:lang w:eastAsia="en-GB"/>
        </w:rPr>
        <w:t>  </w:t>
      </w:r>
    </w:p>
    <w:p w:rsidR="005E7254" w:rsidRPr="005E7254" w:rsidRDefault="005E7254" w:rsidP="005E7254">
      <w:pPr>
        <w:widowControl w:val="0"/>
        <w:numPr>
          <w:ilvl w:val="0"/>
          <w:numId w:val="25"/>
        </w:numPr>
        <w:autoSpaceDE w:val="0"/>
        <w:autoSpaceDN w:val="0"/>
        <w:adjustRightInd w:val="0"/>
        <w:spacing w:after="0" w:line="240" w:lineRule="auto"/>
        <w:contextualSpacing/>
        <w:jc w:val="both"/>
        <w:rPr>
          <w:rFonts w:ascii="Arial" w:eastAsiaTheme="minorEastAsia" w:hAnsi="Arial" w:cs="Arial"/>
          <w:color w:val="000000"/>
          <w:sz w:val="24"/>
          <w:szCs w:val="24"/>
          <w:lang w:eastAsia="en-GB"/>
        </w:rPr>
      </w:pPr>
      <w:r w:rsidRPr="005E7254">
        <w:rPr>
          <w:rFonts w:ascii="Arial" w:eastAsiaTheme="minorEastAsia" w:hAnsi="Arial" w:cs="Arial"/>
          <w:color w:val="000000"/>
          <w:sz w:val="24"/>
          <w:szCs w:val="24"/>
          <w:lang w:eastAsia="en-GB"/>
        </w:rPr>
        <w:t>The Practice discloses personal data to the following categories of recipients, some of which may be located in third countries or may be international organisations as defined in Article 4(26) of the GDPR: -</w:t>
      </w:r>
    </w:p>
    <w:p w:rsidR="005E7254" w:rsidRPr="005E7254" w:rsidRDefault="005E7254" w:rsidP="005E7254">
      <w:pPr>
        <w:spacing w:after="0" w:line="240" w:lineRule="auto"/>
        <w:ind w:left="1152"/>
        <w:contextualSpacing/>
        <w:jc w:val="both"/>
        <w:rPr>
          <w:rFonts w:ascii="Arial" w:eastAsiaTheme="minorEastAsia" w:hAnsi="Arial" w:cs="Arial"/>
          <w:sz w:val="24"/>
          <w:szCs w:val="24"/>
          <w:lang w:eastAsia="en-GB"/>
        </w:rPr>
      </w:pPr>
    </w:p>
    <w:p w:rsidR="005E7254" w:rsidRPr="005E7254" w:rsidRDefault="005E7254" w:rsidP="00D86A35">
      <w:pPr>
        <w:numPr>
          <w:ilvl w:val="0"/>
          <w:numId w:val="29"/>
        </w:numPr>
        <w:spacing w:after="0" w:line="240" w:lineRule="auto"/>
        <w:contextualSpacing/>
        <w:jc w:val="both"/>
        <w:rPr>
          <w:rFonts w:ascii="Arial" w:eastAsiaTheme="minorEastAsia" w:hAnsi="Arial" w:cs="Arial"/>
          <w:sz w:val="24"/>
          <w:szCs w:val="24"/>
          <w:lang w:eastAsia="en-GB"/>
        </w:rPr>
      </w:pPr>
      <w:r w:rsidRPr="005E7254">
        <w:rPr>
          <w:rFonts w:ascii="Arial" w:eastAsiaTheme="minorEastAsia" w:hAnsi="Arial" w:cs="Arial"/>
          <w:color w:val="000000"/>
          <w:sz w:val="24"/>
          <w:szCs w:val="24"/>
          <w:lang w:eastAsia="en-GB"/>
        </w:rPr>
        <w:t>Business partners</w:t>
      </w:r>
      <w:r w:rsidRPr="005E7254">
        <w:rPr>
          <w:rFonts w:ascii="Arial" w:eastAsiaTheme="minorEastAsia" w:hAnsi="Arial" w:cs="Arial"/>
          <w:sz w:val="24"/>
          <w:szCs w:val="24"/>
          <w:lang w:eastAsia="en-GB"/>
        </w:rPr>
        <w:t xml:space="preserve"> </w:t>
      </w:r>
    </w:p>
    <w:p w:rsidR="005E7254" w:rsidRPr="005E7254" w:rsidRDefault="005E7254" w:rsidP="00D86A35">
      <w:pPr>
        <w:numPr>
          <w:ilvl w:val="0"/>
          <w:numId w:val="29"/>
        </w:numPr>
        <w:spacing w:after="0" w:line="240" w:lineRule="auto"/>
        <w:contextualSpacing/>
        <w:jc w:val="both"/>
        <w:rPr>
          <w:rFonts w:ascii="Arial" w:eastAsiaTheme="minorEastAsia" w:hAnsi="Arial" w:cs="Arial"/>
          <w:sz w:val="24"/>
          <w:szCs w:val="24"/>
          <w:lang w:eastAsia="en-GB"/>
        </w:rPr>
      </w:pPr>
      <w:r w:rsidRPr="005E7254">
        <w:rPr>
          <w:rFonts w:ascii="Arial" w:eastAsiaTheme="minorEastAsia" w:hAnsi="Arial" w:cs="Arial"/>
          <w:sz w:val="24"/>
          <w:szCs w:val="24"/>
          <w:lang w:eastAsia="en-GB"/>
        </w:rPr>
        <w:t>NHS Trusts / Foundation Trusts</w:t>
      </w:r>
    </w:p>
    <w:p w:rsidR="005E7254" w:rsidRPr="005E7254" w:rsidRDefault="005E7254" w:rsidP="00D86A35">
      <w:pPr>
        <w:numPr>
          <w:ilvl w:val="0"/>
          <w:numId w:val="29"/>
        </w:numPr>
        <w:spacing w:after="0" w:line="240" w:lineRule="auto"/>
        <w:contextualSpacing/>
        <w:jc w:val="both"/>
        <w:rPr>
          <w:rFonts w:ascii="Arial" w:eastAsiaTheme="minorEastAsia" w:hAnsi="Arial" w:cs="Arial"/>
          <w:sz w:val="24"/>
          <w:szCs w:val="24"/>
          <w:lang w:eastAsia="en-GB"/>
        </w:rPr>
      </w:pPr>
      <w:r w:rsidRPr="005E7254">
        <w:rPr>
          <w:rFonts w:ascii="Arial" w:eastAsiaTheme="minorEastAsia" w:hAnsi="Arial" w:cs="Arial"/>
          <w:sz w:val="24"/>
          <w:szCs w:val="24"/>
          <w:lang w:eastAsia="en-GB"/>
        </w:rPr>
        <w:t>GP’s</w:t>
      </w:r>
    </w:p>
    <w:p w:rsidR="005E7254" w:rsidRPr="005E7254" w:rsidRDefault="005E7254" w:rsidP="00D86A35">
      <w:pPr>
        <w:numPr>
          <w:ilvl w:val="0"/>
          <w:numId w:val="29"/>
        </w:numPr>
        <w:spacing w:after="0" w:line="240" w:lineRule="auto"/>
        <w:contextualSpacing/>
        <w:jc w:val="both"/>
        <w:rPr>
          <w:rFonts w:ascii="Arial" w:eastAsiaTheme="minorEastAsia" w:hAnsi="Arial" w:cs="Arial"/>
          <w:sz w:val="24"/>
          <w:szCs w:val="24"/>
          <w:lang w:eastAsia="en-GB"/>
        </w:rPr>
      </w:pPr>
      <w:r w:rsidRPr="005E7254">
        <w:rPr>
          <w:rFonts w:ascii="Arial" w:eastAsiaTheme="minorEastAsia" w:hAnsi="Arial" w:cs="Arial"/>
          <w:sz w:val="24"/>
          <w:szCs w:val="24"/>
          <w:lang w:eastAsia="en-GB"/>
        </w:rPr>
        <w:t>NHS Commissioning Support Units</w:t>
      </w:r>
    </w:p>
    <w:p w:rsidR="005E7254" w:rsidRPr="005E7254" w:rsidRDefault="005E7254" w:rsidP="00D86A35">
      <w:pPr>
        <w:numPr>
          <w:ilvl w:val="0"/>
          <w:numId w:val="29"/>
        </w:numPr>
        <w:spacing w:after="0" w:line="240" w:lineRule="auto"/>
        <w:contextualSpacing/>
        <w:jc w:val="both"/>
        <w:rPr>
          <w:rFonts w:ascii="Arial" w:eastAsiaTheme="minorEastAsia" w:hAnsi="Arial" w:cs="Arial"/>
          <w:sz w:val="24"/>
          <w:szCs w:val="24"/>
          <w:lang w:eastAsia="en-GB"/>
        </w:rPr>
      </w:pPr>
      <w:r w:rsidRPr="005E7254">
        <w:rPr>
          <w:rFonts w:ascii="Arial" w:eastAsiaTheme="minorEastAsia" w:hAnsi="Arial" w:cs="Arial"/>
          <w:sz w:val="24"/>
          <w:szCs w:val="24"/>
          <w:lang w:eastAsia="en-GB"/>
        </w:rPr>
        <w:t xml:space="preserve">Independent Contractors such as dentists, opticians, pharmacists </w:t>
      </w:r>
    </w:p>
    <w:p w:rsidR="005E7254" w:rsidRPr="005E7254" w:rsidRDefault="005E7254" w:rsidP="00D86A35">
      <w:pPr>
        <w:numPr>
          <w:ilvl w:val="0"/>
          <w:numId w:val="29"/>
        </w:numPr>
        <w:spacing w:after="0" w:line="240" w:lineRule="auto"/>
        <w:contextualSpacing/>
        <w:jc w:val="both"/>
        <w:rPr>
          <w:rFonts w:ascii="Arial" w:eastAsiaTheme="minorEastAsia" w:hAnsi="Arial" w:cs="Arial"/>
          <w:sz w:val="24"/>
          <w:szCs w:val="24"/>
          <w:lang w:eastAsia="en-GB"/>
        </w:rPr>
      </w:pPr>
      <w:r w:rsidRPr="005E7254">
        <w:rPr>
          <w:rFonts w:ascii="Arial" w:eastAsiaTheme="minorEastAsia" w:hAnsi="Arial" w:cs="Arial"/>
          <w:sz w:val="24"/>
          <w:szCs w:val="24"/>
          <w:lang w:eastAsia="en-GB"/>
        </w:rPr>
        <w:t xml:space="preserve">Private Sector Providers </w:t>
      </w:r>
    </w:p>
    <w:p w:rsidR="005E7254" w:rsidRDefault="005E7254" w:rsidP="00D86A35">
      <w:pPr>
        <w:numPr>
          <w:ilvl w:val="0"/>
          <w:numId w:val="29"/>
        </w:numPr>
        <w:spacing w:after="0" w:line="240" w:lineRule="auto"/>
        <w:contextualSpacing/>
        <w:jc w:val="both"/>
        <w:rPr>
          <w:rFonts w:ascii="Arial" w:eastAsiaTheme="minorEastAsia" w:hAnsi="Arial" w:cs="Arial"/>
          <w:sz w:val="24"/>
          <w:szCs w:val="24"/>
          <w:lang w:eastAsia="en-GB"/>
        </w:rPr>
      </w:pPr>
      <w:r w:rsidRPr="005E7254">
        <w:rPr>
          <w:rFonts w:ascii="Arial" w:eastAsiaTheme="minorEastAsia" w:hAnsi="Arial" w:cs="Arial"/>
          <w:sz w:val="24"/>
          <w:szCs w:val="24"/>
          <w:lang w:eastAsia="en-GB"/>
        </w:rPr>
        <w:t xml:space="preserve">Voluntary Sector Providers </w:t>
      </w:r>
    </w:p>
    <w:p w:rsidR="00D86A35" w:rsidRPr="005E7254" w:rsidRDefault="00D86A35" w:rsidP="00D86A35">
      <w:pPr>
        <w:numPr>
          <w:ilvl w:val="0"/>
          <w:numId w:val="29"/>
        </w:numPr>
        <w:spacing w:after="0" w:line="240" w:lineRule="auto"/>
        <w:contextualSpacing/>
        <w:jc w:val="both"/>
        <w:rPr>
          <w:rFonts w:ascii="Arial" w:eastAsiaTheme="minorEastAsia" w:hAnsi="Arial" w:cs="Arial"/>
          <w:sz w:val="24"/>
          <w:szCs w:val="24"/>
          <w:lang w:eastAsia="en-GB"/>
        </w:rPr>
      </w:pPr>
      <w:r>
        <w:rPr>
          <w:rFonts w:ascii="Arial" w:eastAsiaTheme="minorEastAsia" w:hAnsi="Arial" w:cs="Arial"/>
          <w:sz w:val="24"/>
          <w:szCs w:val="24"/>
          <w:lang w:eastAsia="en-GB"/>
        </w:rPr>
        <w:t>Charitable service providers Mind and British red cross)</w:t>
      </w:r>
    </w:p>
    <w:p w:rsidR="005E7254" w:rsidRPr="005E7254" w:rsidRDefault="005E7254" w:rsidP="00D86A35">
      <w:pPr>
        <w:numPr>
          <w:ilvl w:val="0"/>
          <w:numId w:val="29"/>
        </w:numPr>
        <w:spacing w:after="0" w:line="240" w:lineRule="auto"/>
        <w:contextualSpacing/>
        <w:jc w:val="both"/>
        <w:rPr>
          <w:rFonts w:ascii="Arial" w:eastAsiaTheme="minorEastAsia" w:hAnsi="Arial" w:cs="Arial"/>
          <w:sz w:val="24"/>
          <w:szCs w:val="24"/>
          <w:lang w:eastAsia="en-GB"/>
        </w:rPr>
      </w:pPr>
      <w:r w:rsidRPr="005E7254">
        <w:rPr>
          <w:rFonts w:ascii="Arial" w:eastAsiaTheme="minorEastAsia" w:hAnsi="Arial" w:cs="Arial"/>
          <w:sz w:val="24"/>
          <w:szCs w:val="24"/>
          <w:lang w:eastAsia="en-GB"/>
        </w:rPr>
        <w:t xml:space="preserve">Ambulance Trusts </w:t>
      </w:r>
    </w:p>
    <w:p w:rsidR="005E7254" w:rsidRPr="005E7254" w:rsidRDefault="005E7254" w:rsidP="00D86A35">
      <w:pPr>
        <w:numPr>
          <w:ilvl w:val="0"/>
          <w:numId w:val="29"/>
        </w:numPr>
        <w:spacing w:after="0" w:line="240" w:lineRule="auto"/>
        <w:contextualSpacing/>
        <w:jc w:val="both"/>
        <w:rPr>
          <w:rFonts w:ascii="Arial" w:eastAsiaTheme="minorEastAsia" w:hAnsi="Arial" w:cs="Arial"/>
          <w:sz w:val="24"/>
          <w:szCs w:val="24"/>
          <w:lang w:eastAsia="en-GB"/>
        </w:rPr>
      </w:pPr>
      <w:r w:rsidRPr="005E7254">
        <w:rPr>
          <w:rFonts w:ascii="Arial" w:eastAsiaTheme="minorEastAsia" w:hAnsi="Arial" w:cs="Arial"/>
          <w:sz w:val="24"/>
          <w:szCs w:val="24"/>
          <w:lang w:eastAsia="en-GB"/>
        </w:rPr>
        <w:t xml:space="preserve">Clinical Commissioning Groups </w:t>
      </w:r>
    </w:p>
    <w:p w:rsidR="005E7254" w:rsidRPr="005E7254" w:rsidRDefault="005E7254" w:rsidP="00D86A35">
      <w:pPr>
        <w:numPr>
          <w:ilvl w:val="0"/>
          <w:numId w:val="29"/>
        </w:numPr>
        <w:spacing w:after="0" w:line="240" w:lineRule="auto"/>
        <w:contextualSpacing/>
        <w:jc w:val="both"/>
        <w:rPr>
          <w:rFonts w:ascii="Arial" w:eastAsiaTheme="minorEastAsia" w:hAnsi="Arial" w:cs="Arial"/>
          <w:sz w:val="24"/>
          <w:szCs w:val="24"/>
          <w:lang w:eastAsia="en-GB"/>
        </w:rPr>
      </w:pPr>
      <w:r w:rsidRPr="005E7254">
        <w:rPr>
          <w:rFonts w:ascii="Arial" w:eastAsiaTheme="minorEastAsia" w:hAnsi="Arial" w:cs="Arial"/>
          <w:sz w:val="24"/>
          <w:szCs w:val="24"/>
          <w:lang w:eastAsia="en-GB"/>
        </w:rPr>
        <w:t xml:space="preserve">Social Care Services </w:t>
      </w:r>
    </w:p>
    <w:p w:rsidR="005E7254" w:rsidRPr="005E7254" w:rsidRDefault="005E7254" w:rsidP="00D86A35">
      <w:pPr>
        <w:numPr>
          <w:ilvl w:val="0"/>
          <w:numId w:val="29"/>
        </w:numPr>
        <w:spacing w:after="0" w:line="240" w:lineRule="auto"/>
        <w:contextualSpacing/>
        <w:jc w:val="both"/>
        <w:rPr>
          <w:rFonts w:ascii="Arial" w:eastAsiaTheme="minorEastAsia" w:hAnsi="Arial" w:cs="Arial"/>
          <w:sz w:val="24"/>
          <w:szCs w:val="24"/>
          <w:lang w:eastAsia="en-GB"/>
        </w:rPr>
      </w:pPr>
      <w:r w:rsidRPr="005E7254">
        <w:rPr>
          <w:rFonts w:ascii="Arial" w:eastAsiaTheme="minorEastAsia" w:hAnsi="Arial" w:cs="Arial"/>
          <w:sz w:val="24"/>
          <w:szCs w:val="24"/>
          <w:lang w:eastAsia="en-GB"/>
        </w:rPr>
        <w:t>NHS Digital</w:t>
      </w:r>
    </w:p>
    <w:p w:rsidR="005E7254" w:rsidRPr="005E7254" w:rsidRDefault="005E7254" w:rsidP="00D86A35">
      <w:pPr>
        <w:numPr>
          <w:ilvl w:val="0"/>
          <w:numId w:val="29"/>
        </w:numPr>
        <w:spacing w:after="0" w:line="240" w:lineRule="auto"/>
        <w:contextualSpacing/>
        <w:jc w:val="both"/>
        <w:rPr>
          <w:rFonts w:ascii="Arial" w:eastAsiaTheme="minorEastAsia" w:hAnsi="Arial" w:cs="Arial"/>
          <w:sz w:val="24"/>
          <w:szCs w:val="24"/>
          <w:lang w:eastAsia="en-GB"/>
        </w:rPr>
      </w:pPr>
      <w:r w:rsidRPr="005E7254">
        <w:rPr>
          <w:rFonts w:ascii="Arial" w:eastAsiaTheme="minorEastAsia" w:hAnsi="Arial" w:cs="Arial"/>
          <w:sz w:val="24"/>
          <w:szCs w:val="24"/>
          <w:lang w:eastAsia="en-GB"/>
        </w:rPr>
        <w:t xml:space="preserve">Local Authorities </w:t>
      </w:r>
    </w:p>
    <w:p w:rsidR="005E7254" w:rsidRPr="005E7254" w:rsidRDefault="005E7254" w:rsidP="00D86A35">
      <w:pPr>
        <w:numPr>
          <w:ilvl w:val="0"/>
          <w:numId w:val="29"/>
        </w:numPr>
        <w:spacing w:after="0" w:line="240" w:lineRule="auto"/>
        <w:contextualSpacing/>
        <w:jc w:val="both"/>
        <w:rPr>
          <w:rFonts w:ascii="Arial" w:eastAsiaTheme="minorEastAsia" w:hAnsi="Arial" w:cs="Arial"/>
          <w:sz w:val="24"/>
          <w:szCs w:val="24"/>
          <w:lang w:eastAsia="en-GB"/>
        </w:rPr>
      </w:pPr>
      <w:r w:rsidRPr="005E7254">
        <w:rPr>
          <w:rFonts w:ascii="Arial" w:eastAsiaTheme="minorEastAsia" w:hAnsi="Arial" w:cs="Arial"/>
          <w:sz w:val="24"/>
          <w:szCs w:val="24"/>
          <w:lang w:eastAsia="en-GB"/>
        </w:rPr>
        <w:t xml:space="preserve">Education Services </w:t>
      </w:r>
    </w:p>
    <w:p w:rsidR="005E7254" w:rsidRPr="005E7254" w:rsidRDefault="005E7254" w:rsidP="00D86A35">
      <w:pPr>
        <w:numPr>
          <w:ilvl w:val="0"/>
          <w:numId w:val="29"/>
        </w:numPr>
        <w:spacing w:after="0" w:line="240" w:lineRule="auto"/>
        <w:contextualSpacing/>
        <w:jc w:val="both"/>
        <w:rPr>
          <w:rFonts w:ascii="Arial" w:eastAsiaTheme="minorEastAsia" w:hAnsi="Arial" w:cs="Arial"/>
          <w:sz w:val="24"/>
          <w:szCs w:val="24"/>
          <w:lang w:eastAsia="en-GB"/>
        </w:rPr>
      </w:pPr>
      <w:r w:rsidRPr="005E7254">
        <w:rPr>
          <w:rFonts w:ascii="Arial" w:eastAsiaTheme="minorEastAsia" w:hAnsi="Arial" w:cs="Arial"/>
          <w:sz w:val="24"/>
          <w:szCs w:val="24"/>
          <w:lang w:eastAsia="en-GB"/>
        </w:rPr>
        <w:t xml:space="preserve">Fire and Rescue Services </w:t>
      </w:r>
    </w:p>
    <w:p w:rsidR="005E7254" w:rsidRPr="005E7254" w:rsidRDefault="005E7254" w:rsidP="00D86A35">
      <w:pPr>
        <w:numPr>
          <w:ilvl w:val="0"/>
          <w:numId w:val="29"/>
        </w:numPr>
        <w:spacing w:after="0" w:line="240" w:lineRule="auto"/>
        <w:contextualSpacing/>
        <w:jc w:val="both"/>
        <w:rPr>
          <w:rFonts w:ascii="Arial" w:eastAsiaTheme="minorEastAsia" w:hAnsi="Arial" w:cs="Arial"/>
          <w:sz w:val="24"/>
          <w:szCs w:val="24"/>
          <w:lang w:eastAsia="en-GB"/>
        </w:rPr>
      </w:pPr>
      <w:r w:rsidRPr="005E7254">
        <w:rPr>
          <w:rFonts w:ascii="Arial" w:eastAsiaTheme="minorEastAsia" w:hAnsi="Arial" w:cs="Arial"/>
          <w:sz w:val="24"/>
          <w:szCs w:val="24"/>
          <w:lang w:eastAsia="en-GB"/>
        </w:rPr>
        <w:t>Police &amp; Judicial Services</w:t>
      </w:r>
    </w:p>
    <w:p w:rsidR="005E7254" w:rsidRPr="005E7254" w:rsidRDefault="005E7254" w:rsidP="00D86A35">
      <w:pPr>
        <w:numPr>
          <w:ilvl w:val="0"/>
          <w:numId w:val="29"/>
        </w:numPr>
        <w:spacing w:after="0" w:line="240" w:lineRule="auto"/>
        <w:contextualSpacing/>
        <w:jc w:val="both"/>
        <w:rPr>
          <w:rFonts w:ascii="Arial" w:eastAsiaTheme="minorEastAsia" w:hAnsi="Arial" w:cs="Arial"/>
          <w:sz w:val="24"/>
          <w:szCs w:val="24"/>
          <w:lang w:eastAsia="en-GB"/>
        </w:rPr>
      </w:pPr>
      <w:r w:rsidRPr="005E7254">
        <w:rPr>
          <w:rFonts w:ascii="Arial" w:eastAsiaTheme="minorEastAsia" w:hAnsi="Arial" w:cs="Arial"/>
          <w:color w:val="000000"/>
          <w:sz w:val="24"/>
          <w:szCs w:val="24"/>
          <w:lang w:eastAsia="en-GB"/>
        </w:rPr>
        <w:t>Third-party service providers, such as providers of IT system management, information security, human resources management, payroll administration</w:t>
      </w:r>
    </w:p>
    <w:p w:rsidR="005E7254" w:rsidRPr="005E7254" w:rsidRDefault="005E7254" w:rsidP="00D86A35">
      <w:pPr>
        <w:spacing w:after="0" w:line="240" w:lineRule="auto"/>
        <w:ind w:left="1152"/>
        <w:contextualSpacing/>
        <w:jc w:val="both"/>
        <w:rPr>
          <w:rFonts w:ascii="Arial" w:eastAsiaTheme="minorEastAsia" w:hAnsi="Arial" w:cs="Arial"/>
          <w:sz w:val="24"/>
          <w:szCs w:val="24"/>
          <w:lang w:eastAsia="en-GB"/>
        </w:rPr>
      </w:pPr>
    </w:p>
    <w:p w:rsidR="005E7254" w:rsidRPr="005E7254" w:rsidRDefault="005E7254" w:rsidP="005E7254">
      <w:pPr>
        <w:spacing w:after="0" w:line="240" w:lineRule="auto"/>
        <w:ind w:left="720"/>
        <w:contextualSpacing/>
        <w:rPr>
          <w:rFonts w:ascii="Arial" w:eastAsiaTheme="minorEastAsia" w:hAnsi="Arial" w:cs="Arial"/>
          <w:color w:val="000000"/>
          <w:sz w:val="24"/>
          <w:szCs w:val="24"/>
          <w:lang w:eastAsia="en-GB"/>
        </w:rPr>
      </w:pPr>
    </w:p>
    <w:p w:rsidR="005E7254" w:rsidRPr="00D86A35" w:rsidRDefault="005E7254" w:rsidP="00D86A35">
      <w:pPr>
        <w:widowControl w:val="0"/>
        <w:numPr>
          <w:ilvl w:val="0"/>
          <w:numId w:val="25"/>
        </w:numPr>
        <w:autoSpaceDE w:val="0"/>
        <w:autoSpaceDN w:val="0"/>
        <w:adjustRightInd w:val="0"/>
        <w:spacing w:after="0" w:line="240" w:lineRule="auto"/>
        <w:contextualSpacing/>
        <w:jc w:val="both"/>
        <w:rPr>
          <w:rFonts w:ascii="Arial" w:eastAsiaTheme="minorEastAsia" w:hAnsi="Arial" w:cs="Arial"/>
          <w:sz w:val="24"/>
          <w:szCs w:val="24"/>
          <w:lang w:eastAsia="en-GB"/>
        </w:rPr>
      </w:pPr>
      <w:r w:rsidRPr="005E7254">
        <w:rPr>
          <w:rFonts w:ascii="Arial" w:eastAsiaTheme="minorEastAsia" w:hAnsi="Arial" w:cs="Arial"/>
          <w:sz w:val="24"/>
          <w:szCs w:val="24"/>
          <w:lang w:eastAsia="en-GB"/>
        </w:rPr>
        <w:t xml:space="preserve">The Practice </w:t>
      </w:r>
      <w:r w:rsidR="00D86A35" w:rsidRPr="00D86A35">
        <w:rPr>
          <w:rFonts w:ascii="Arial" w:eastAsiaTheme="minorEastAsia" w:hAnsi="Arial" w:cs="Arial"/>
          <w:sz w:val="24"/>
          <w:szCs w:val="24"/>
          <w:lang w:eastAsia="en-GB"/>
        </w:rPr>
        <w:t xml:space="preserve">does not </w:t>
      </w:r>
      <w:r w:rsidRPr="005E7254">
        <w:rPr>
          <w:rFonts w:ascii="Arial" w:eastAsiaTheme="minorEastAsia" w:hAnsi="Arial" w:cs="Arial"/>
          <w:sz w:val="24"/>
          <w:szCs w:val="24"/>
          <w:lang w:eastAsia="en-GB"/>
        </w:rPr>
        <w:t>transfer</w:t>
      </w:r>
      <w:r w:rsidR="00D86A35" w:rsidRPr="00D86A35">
        <w:rPr>
          <w:rFonts w:ascii="Arial" w:eastAsiaTheme="minorEastAsia" w:hAnsi="Arial" w:cs="Arial"/>
          <w:sz w:val="24"/>
          <w:szCs w:val="24"/>
          <w:lang w:eastAsia="en-GB"/>
        </w:rPr>
        <w:t xml:space="preserve"> personal data to countries outside the UK.</w:t>
      </w:r>
    </w:p>
    <w:p w:rsidR="00D86A35" w:rsidRPr="005E7254" w:rsidRDefault="00D86A35" w:rsidP="00D86A35">
      <w:pPr>
        <w:widowControl w:val="0"/>
        <w:autoSpaceDE w:val="0"/>
        <w:autoSpaceDN w:val="0"/>
        <w:adjustRightInd w:val="0"/>
        <w:spacing w:after="0" w:line="240" w:lineRule="auto"/>
        <w:ind w:left="360"/>
        <w:contextualSpacing/>
        <w:jc w:val="both"/>
        <w:rPr>
          <w:rFonts w:ascii="Arial" w:eastAsiaTheme="minorEastAsia" w:hAnsi="Arial" w:cs="Arial"/>
          <w:sz w:val="24"/>
          <w:szCs w:val="24"/>
          <w:lang w:eastAsia="en-GB"/>
        </w:rPr>
      </w:pPr>
    </w:p>
    <w:p w:rsidR="005E7254" w:rsidRPr="005E7254" w:rsidRDefault="005E7254" w:rsidP="005E7254">
      <w:pPr>
        <w:widowControl w:val="0"/>
        <w:numPr>
          <w:ilvl w:val="0"/>
          <w:numId w:val="25"/>
        </w:numPr>
        <w:autoSpaceDE w:val="0"/>
        <w:autoSpaceDN w:val="0"/>
        <w:adjustRightInd w:val="0"/>
        <w:spacing w:after="0" w:line="240" w:lineRule="auto"/>
        <w:contextualSpacing/>
        <w:jc w:val="both"/>
        <w:rPr>
          <w:rFonts w:ascii="Arial" w:eastAsiaTheme="minorEastAsia" w:hAnsi="Arial" w:cs="Arial"/>
          <w:color w:val="000000"/>
          <w:sz w:val="24"/>
          <w:szCs w:val="24"/>
          <w:lang w:eastAsia="en-GB"/>
        </w:rPr>
      </w:pPr>
      <w:r w:rsidRPr="005E7254">
        <w:rPr>
          <w:rFonts w:ascii="Arial" w:eastAsiaTheme="minorEastAsia" w:hAnsi="Arial" w:cs="Arial"/>
          <w:sz w:val="24"/>
          <w:szCs w:val="24"/>
          <w:lang w:eastAsia="en-GB"/>
        </w:rPr>
        <w:t xml:space="preserve">The Practice makes limited personal data transfers subject to the second subparagraph of Article 49(1) which are necessary for the practices compelling legitimate interests. The Practice will seek </w:t>
      </w:r>
      <w:r w:rsidRPr="005E7254">
        <w:rPr>
          <w:rFonts w:ascii="Arial" w:eastAsiaTheme="minorEastAsia" w:hAnsi="Arial" w:cs="Arial"/>
          <w:color w:val="000000"/>
          <w:sz w:val="24"/>
          <w:szCs w:val="24"/>
          <w:lang w:eastAsia="en-GB"/>
        </w:rPr>
        <w:t xml:space="preserve">to ensure that appropriate safeguards are in place to protect personal information before making any such transfer. </w:t>
      </w:r>
    </w:p>
    <w:p w:rsidR="005E7254" w:rsidRPr="005E7254" w:rsidRDefault="005E7254" w:rsidP="005E7254">
      <w:pPr>
        <w:widowControl w:val="0"/>
        <w:autoSpaceDE w:val="0"/>
        <w:autoSpaceDN w:val="0"/>
        <w:adjustRightInd w:val="0"/>
        <w:spacing w:after="0" w:line="240" w:lineRule="auto"/>
        <w:ind w:left="792"/>
        <w:contextualSpacing/>
        <w:jc w:val="both"/>
        <w:rPr>
          <w:rFonts w:ascii="Arial" w:eastAsiaTheme="minorEastAsia" w:hAnsi="Arial" w:cs="Arial"/>
          <w:color w:val="000000"/>
          <w:sz w:val="24"/>
          <w:szCs w:val="24"/>
          <w:lang w:eastAsia="en-GB"/>
        </w:rPr>
      </w:pPr>
    </w:p>
    <w:p w:rsidR="005E7254" w:rsidRPr="005E7254" w:rsidRDefault="005E7254" w:rsidP="005E7254">
      <w:pPr>
        <w:widowControl w:val="0"/>
        <w:autoSpaceDE w:val="0"/>
        <w:autoSpaceDN w:val="0"/>
        <w:adjustRightInd w:val="0"/>
        <w:spacing w:after="0" w:line="240" w:lineRule="auto"/>
        <w:jc w:val="both"/>
        <w:rPr>
          <w:rFonts w:ascii="Arial" w:eastAsiaTheme="minorEastAsia" w:hAnsi="Arial" w:cs="Arial"/>
          <w:color w:val="000000"/>
          <w:sz w:val="24"/>
          <w:szCs w:val="24"/>
          <w:lang w:eastAsia="en-GB"/>
        </w:rPr>
      </w:pPr>
      <w:r w:rsidRPr="005E7254">
        <w:rPr>
          <w:rFonts w:ascii="Arial" w:eastAsiaTheme="minorEastAsia" w:hAnsi="Arial" w:cs="Arial"/>
          <w:b/>
          <w:bCs/>
          <w:color w:val="000000"/>
          <w:sz w:val="24"/>
          <w:szCs w:val="24"/>
          <w:lang w:eastAsia="en-GB"/>
        </w:rPr>
        <w:t>Personal Data Retention Periods</w:t>
      </w:r>
      <w:r w:rsidRPr="005E7254">
        <w:rPr>
          <w:rFonts w:ascii="Arial" w:eastAsiaTheme="minorEastAsia" w:hAnsi="Arial" w:cs="Arial"/>
          <w:color w:val="000000"/>
          <w:sz w:val="24"/>
          <w:szCs w:val="24"/>
          <w:lang w:eastAsia="en-GB"/>
        </w:rPr>
        <w:t>  </w:t>
      </w:r>
    </w:p>
    <w:p w:rsidR="005E7254" w:rsidRPr="005E7254" w:rsidRDefault="005E7254" w:rsidP="005E7254">
      <w:pPr>
        <w:widowControl w:val="0"/>
        <w:numPr>
          <w:ilvl w:val="0"/>
          <w:numId w:val="25"/>
        </w:numPr>
        <w:autoSpaceDE w:val="0"/>
        <w:autoSpaceDN w:val="0"/>
        <w:adjustRightInd w:val="0"/>
        <w:spacing w:after="0" w:line="240" w:lineRule="auto"/>
        <w:contextualSpacing/>
        <w:jc w:val="both"/>
        <w:rPr>
          <w:rFonts w:ascii="Arial" w:eastAsiaTheme="minorEastAsia" w:hAnsi="Arial" w:cs="Arial"/>
          <w:color w:val="000000"/>
          <w:sz w:val="24"/>
          <w:szCs w:val="24"/>
          <w:lang w:eastAsia="en-GB"/>
        </w:rPr>
      </w:pPr>
      <w:r w:rsidRPr="005E7254">
        <w:rPr>
          <w:rFonts w:ascii="Arial" w:eastAsiaTheme="minorEastAsia" w:hAnsi="Arial" w:cs="Arial"/>
          <w:color w:val="000000"/>
          <w:sz w:val="24"/>
          <w:szCs w:val="24"/>
          <w:lang w:eastAsia="en-GB"/>
        </w:rPr>
        <w:t>Except as otherwise permitted or required by applicable law or regulation, the Practice only retains personal data for as long as necessary to fulfil the purposes the Practice collected it for, as required to satisfy any legal, accounting, or reporting obligations, or as necessary to resolve disputes. To determine the appropriate retention period for personal data, the Practice considers the amount, nature, and sensitivity of personal data, the potential risk of harm from unauthorised use or disclosure of personal data, the purposes for processing the personal data, whether the Practice can fulfil the purposes of processing by other means, and any applicable legal requirements.</w:t>
      </w:r>
    </w:p>
    <w:p w:rsidR="005E7254" w:rsidRPr="005E7254" w:rsidRDefault="005E7254" w:rsidP="005E7254">
      <w:pPr>
        <w:widowControl w:val="0"/>
        <w:autoSpaceDE w:val="0"/>
        <w:autoSpaceDN w:val="0"/>
        <w:adjustRightInd w:val="0"/>
        <w:spacing w:after="0" w:line="240" w:lineRule="auto"/>
        <w:ind w:left="792"/>
        <w:contextualSpacing/>
        <w:jc w:val="both"/>
        <w:rPr>
          <w:rFonts w:ascii="Arial" w:eastAsiaTheme="minorEastAsia" w:hAnsi="Arial" w:cs="Arial"/>
          <w:color w:val="000000"/>
          <w:sz w:val="24"/>
          <w:szCs w:val="24"/>
          <w:lang w:eastAsia="en-GB"/>
        </w:rPr>
      </w:pPr>
    </w:p>
    <w:p w:rsidR="005E7254" w:rsidRPr="005E7254" w:rsidRDefault="005E7254" w:rsidP="005E7254">
      <w:pPr>
        <w:widowControl w:val="0"/>
        <w:numPr>
          <w:ilvl w:val="0"/>
          <w:numId w:val="25"/>
        </w:numPr>
        <w:autoSpaceDE w:val="0"/>
        <w:autoSpaceDN w:val="0"/>
        <w:adjustRightInd w:val="0"/>
        <w:spacing w:after="0" w:line="240" w:lineRule="auto"/>
        <w:contextualSpacing/>
        <w:jc w:val="both"/>
        <w:rPr>
          <w:rFonts w:ascii="Arial" w:eastAsiaTheme="minorEastAsia" w:hAnsi="Arial" w:cs="Arial"/>
          <w:color w:val="000000"/>
          <w:sz w:val="24"/>
          <w:szCs w:val="24"/>
          <w:lang w:eastAsia="en-GB"/>
        </w:rPr>
      </w:pPr>
      <w:r w:rsidRPr="005E7254">
        <w:rPr>
          <w:rFonts w:ascii="Arial" w:eastAsiaTheme="minorEastAsia" w:hAnsi="Arial" w:cs="Arial"/>
          <w:color w:val="000000"/>
          <w:sz w:val="24"/>
          <w:szCs w:val="24"/>
          <w:lang w:eastAsia="en-GB"/>
        </w:rPr>
        <w:t>The Practice typically retains personal data for the periods set out below, subject to any exceptional circumstances or to comply with laws or regulations that require a specific retention period: -</w:t>
      </w:r>
    </w:p>
    <w:p w:rsidR="005E7254" w:rsidRPr="005E7254" w:rsidRDefault="005E7254" w:rsidP="005E7254">
      <w:pPr>
        <w:spacing w:after="0" w:line="240" w:lineRule="auto"/>
        <w:ind w:left="720"/>
        <w:contextualSpacing/>
        <w:rPr>
          <w:rFonts w:ascii="Arial" w:eastAsiaTheme="minorEastAsia" w:hAnsi="Arial" w:cs="Arial"/>
          <w:color w:val="000000"/>
          <w:sz w:val="24"/>
          <w:szCs w:val="24"/>
          <w:lang w:eastAsia="en-GB"/>
        </w:rPr>
      </w:pPr>
    </w:p>
    <w:p w:rsidR="005E7254" w:rsidRDefault="005E7254" w:rsidP="005E7254">
      <w:pPr>
        <w:widowControl w:val="0"/>
        <w:numPr>
          <w:ilvl w:val="1"/>
          <w:numId w:val="25"/>
        </w:numPr>
        <w:autoSpaceDE w:val="0"/>
        <w:autoSpaceDN w:val="0"/>
        <w:adjustRightInd w:val="0"/>
        <w:spacing w:after="0" w:line="240" w:lineRule="auto"/>
        <w:contextualSpacing/>
        <w:jc w:val="both"/>
        <w:rPr>
          <w:rFonts w:ascii="Arial" w:eastAsiaTheme="minorEastAsia" w:hAnsi="Arial" w:cs="Arial"/>
          <w:color w:val="000000"/>
          <w:sz w:val="24"/>
          <w:szCs w:val="24"/>
          <w:lang w:eastAsia="en-GB"/>
        </w:rPr>
      </w:pPr>
      <w:r w:rsidRPr="005E7254">
        <w:rPr>
          <w:rFonts w:ascii="Arial" w:eastAsiaTheme="minorEastAsia" w:hAnsi="Arial" w:cs="Arial"/>
          <w:color w:val="000000"/>
          <w:sz w:val="24"/>
          <w:szCs w:val="24"/>
          <w:lang w:eastAsia="en-GB"/>
        </w:rPr>
        <w:t>GP records - 10 years after the patient's death or after the patient has permanently left the country, unless they remain in the European Union.</w:t>
      </w:r>
    </w:p>
    <w:p w:rsidR="00D86A35" w:rsidRPr="005E7254" w:rsidRDefault="00D86A35" w:rsidP="00D86A35">
      <w:pPr>
        <w:widowControl w:val="0"/>
        <w:autoSpaceDE w:val="0"/>
        <w:autoSpaceDN w:val="0"/>
        <w:adjustRightInd w:val="0"/>
        <w:spacing w:after="0" w:line="240" w:lineRule="auto"/>
        <w:ind w:left="792"/>
        <w:contextualSpacing/>
        <w:jc w:val="both"/>
        <w:rPr>
          <w:rFonts w:ascii="Arial" w:eastAsiaTheme="minorEastAsia" w:hAnsi="Arial" w:cs="Arial"/>
          <w:color w:val="000000"/>
          <w:sz w:val="24"/>
          <w:szCs w:val="24"/>
          <w:lang w:eastAsia="en-GB"/>
        </w:rPr>
      </w:pPr>
      <w:bookmarkStart w:id="0" w:name="_GoBack"/>
      <w:bookmarkEnd w:id="0"/>
    </w:p>
    <w:p w:rsidR="005E7254" w:rsidRPr="005E7254" w:rsidRDefault="005E7254" w:rsidP="005E7254">
      <w:pPr>
        <w:widowControl w:val="0"/>
        <w:numPr>
          <w:ilvl w:val="1"/>
          <w:numId w:val="25"/>
        </w:numPr>
        <w:autoSpaceDE w:val="0"/>
        <w:autoSpaceDN w:val="0"/>
        <w:adjustRightInd w:val="0"/>
        <w:spacing w:after="0" w:line="240" w:lineRule="auto"/>
        <w:contextualSpacing/>
        <w:jc w:val="both"/>
        <w:rPr>
          <w:rFonts w:ascii="Arial" w:eastAsiaTheme="minorEastAsia" w:hAnsi="Arial" w:cs="Arial"/>
          <w:color w:val="000000"/>
          <w:sz w:val="24"/>
          <w:szCs w:val="24"/>
          <w:lang w:eastAsia="en-GB"/>
        </w:rPr>
      </w:pPr>
      <w:r w:rsidRPr="005E7254">
        <w:rPr>
          <w:rFonts w:ascii="Arial" w:eastAsiaTheme="minorEastAsia" w:hAnsi="Arial" w:cs="Arial"/>
          <w:color w:val="000000"/>
          <w:sz w:val="24"/>
          <w:szCs w:val="24"/>
          <w:lang w:eastAsia="en-GB"/>
        </w:rPr>
        <w:t>Electronic patient records – indefinitely as they must not be destroyed or deleted for the foreseeable future.</w:t>
      </w:r>
    </w:p>
    <w:p w:rsidR="005E7254" w:rsidRPr="005E7254" w:rsidRDefault="005E7254" w:rsidP="005E7254">
      <w:pPr>
        <w:widowControl w:val="0"/>
        <w:numPr>
          <w:ilvl w:val="1"/>
          <w:numId w:val="25"/>
        </w:numPr>
        <w:autoSpaceDE w:val="0"/>
        <w:autoSpaceDN w:val="0"/>
        <w:adjustRightInd w:val="0"/>
        <w:spacing w:after="0" w:line="240" w:lineRule="auto"/>
        <w:contextualSpacing/>
        <w:jc w:val="both"/>
        <w:rPr>
          <w:rFonts w:ascii="Arial" w:eastAsiaTheme="minorEastAsia" w:hAnsi="Arial" w:cs="Arial"/>
          <w:color w:val="000000"/>
          <w:sz w:val="24"/>
          <w:szCs w:val="24"/>
          <w:lang w:eastAsia="en-GB"/>
        </w:rPr>
      </w:pPr>
      <w:r w:rsidRPr="005E7254">
        <w:rPr>
          <w:rFonts w:ascii="Arial" w:eastAsiaTheme="minorEastAsia" w:hAnsi="Arial" w:cs="Arial"/>
          <w:color w:val="000000"/>
          <w:sz w:val="24"/>
          <w:szCs w:val="24"/>
          <w:lang w:eastAsia="en-GB"/>
        </w:rPr>
        <w:t>Children and young people - all types of records for children and young people should be retained until the patient is 25 (or 26 if they are 17 when treatment ends) or eight years after their death, if sooner. (Note that if a child's illness or death could be relevant to an adult condition or have genetic implications for their family, records may be kept for longer).</w:t>
      </w:r>
    </w:p>
    <w:p w:rsidR="005E7254" w:rsidRPr="005E7254" w:rsidRDefault="005E7254" w:rsidP="005E7254">
      <w:pPr>
        <w:widowControl w:val="0"/>
        <w:numPr>
          <w:ilvl w:val="1"/>
          <w:numId w:val="25"/>
        </w:numPr>
        <w:autoSpaceDE w:val="0"/>
        <w:autoSpaceDN w:val="0"/>
        <w:adjustRightInd w:val="0"/>
        <w:spacing w:after="0" w:line="240" w:lineRule="auto"/>
        <w:contextualSpacing/>
        <w:jc w:val="both"/>
        <w:rPr>
          <w:rFonts w:ascii="Arial" w:eastAsiaTheme="minorEastAsia" w:hAnsi="Arial" w:cs="Arial"/>
          <w:color w:val="000000"/>
          <w:sz w:val="24"/>
          <w:szCs w:val="24"/>
          <w:lang w:eastAsia="en-GB"/>
        </w:rPr>
      </w:pPr>
      <w:r w:rsidRPr="005E7254">
        <w:rPr>
          <w:rFonts w:ascii="Arial" w:eastAsiaTheme="minorEastAsia" w:hAnsi="Arial" w:cs="Arial"/>
          <w:color w:val="000000"/>
          <w:sz w:val="24"/>
          <w:szCs w:val="24"/>
          <w:lang w:eastAsia="en-GB"/>
        </w:rPr>
        <w:t>Maternity records (including obstetric and midwifery records) must be retained for 25 years after the birth of the last child.</w:t>
      </w:r>
    </w:p>
    <w:p w:rsidR="005E7254" w:rsidRPr="005E7254" w:rsidRDefault="005E7254" w:rsidP="005E7254">
      <w:pPr>
        <w:widowControl w:val="0"/>
        <w:numPr>
          <w:ilvl w:val="1"/>
          <w:numId w:val="25"/>
        </w:numPr>
        <w:autoSpaceDE w:val="0"/>
        <w:autoSpaceDN w:val="0"/>
        <w:adjustRightInd w:val="0"/>
        <w:spacing w:after="0" w:line="240" w:lineRule="auto"/>
        <w:contextualSpacing/>
        <w:jc w:val="both"/>
        <w:rPr>
          <w:rFonts w:ascii="Arial" w:eastAsiaTheme="minorEastAsia" w:hAnsi="Arial" w:cs="Arial"/>
          <w:color w:val="000000"/>
          <w:sz w:val="24"/>
          <w:szCs w:val="24"/>
          <w:lang w:eastAsia="en-GB"/>
        </w:rPr>
      </w:pPr>
      <w:r w:rsidRPr="005E7254">
        <w:rPr>
          <w:rFonts w:ascii="Arial" w:eastAsiaTheme="minorEastAsia" w:hAnsi="Arial" w:cs="Arial"/>
          <w:color w:val="000000"/>
          <w:sz w:val="24"/>
          <w:szCs w:val="24"/>
          <w:lang w:eastAsia="en-GB"/>
        </w:rPr>
        <w:t xml:space="preserve">Mental health records. Records of people who have been treated for a mental disorder will be retained for 20 years after the date of last contact between the patient and any healthcare professional employed by the mental health provider, or eight years after the death of the patient if sooner. </w:t>
      </w:r>
    </w:p>
    <w:p w:rsidR="005E7254" w:rsidRPr="005E7254" w:rsidRDefault="005E7254" w:rsidP="005E7254">
      <w:pPr>
        <w:spacing w:after="0" w:line="240" w:lineRule="auto"/>
        <w:ind w:left="720"/>
        <w:contextualSpacing/>
        <w:rPr>
          <w:rFonts w:ascii="Arial" w:eastAsiaTheme="minorEastAsia" w:hAnsi="Arial" w:cs="Arial"/>
          <w:color w:val="000000"/>
          <w:sz w:val="24"/>
          <w:szCs w:val="24"/>
          <w:lang w:eastAsia="en-GB"/>
        </w:rPr>
      </w:pPr>
    </w:p>
    <w:p w:rsidR="005E7254" w:rsidRPr="005E7254" w:rsidRDefault="005E7254" w:rsidP="005E7254">
      <w:pPr>
        <w:widowControl w:val="0"/>
        <w:autoSpaceDE w:val="0"/>
        <w:autoSpaceDN w:val="0"/>
        <w:adjustRightInd w:val="0"/>
        <w:spacing w:after="0" w:line="240" w:lineRule="auto"/>
        <w:jc w:val="both"/>
        <w:rPr>
          <w:rFonts w:ascii="Arial" w:eastAsiaTheme="minorEastAsia" w:hAnsi="Arial" w:cs="Arial"/>
          <w:color w:val="000000"/>
          <w:sz w:val="24"/>
          <w:szCs w:val="24"/>
          <w:lang w:eastAsia="en-GB"/>
        </w:rPr>
      </w:pPr>
      <w:r w:rsidRPr="005E7254">
        <w:rPr>
          <w:rFonts w:ascii="Arial" w:eastAsiaTheme="minorEastAsia" w:hAnsi="Arial" w:cs="Arial"/>
          <w:b/>
          <w:bCs/>
          <w:color w:val="000000"/>
          <w:sz w:val="24"/>
          <w:szCs w:val="24"/>
          <w:lang w:eastAsia="en-GB"/>
        </w:rPr>
        <w:t>Technical and Organisational Security Measures</w:t>
      </w:r>
      <w:r w:rsidRPr="005E7254">
        <w:rPr>
          <w:rFonts w:ascii="Arial" w:eastAsiaTheme="minorEastAsia" w:hAnsi="Arial" w:cs="Arial"/>
          <w:color w:val="000000"/>
          <w:sz w:val="24"/>
          <w:szCs w:val="24"/>
          <w:lang w:eastAsia="en-GB"/>
        </w:rPr>
        <w:t>  </w:t>
      </w:r>
    </w:p>
    <w:p w:rsidR="005E7254" w:rsidRPr="005E7254" w:rsidRDefault="005E7254" w:rsidP="005E7254">
      <w:pPr>
        <w:widowControl w:val="0"/>
        <w:numPr>
          <w:ilvl w:val="0"/>
          <w:numId w:val="25"/>
        </w:numPr>
        <w:autoSpaceDE w:val="0"/>
        <w:autoSpaceDN w:val="0"/>
        <w:adjustRightInd w:val="0"/>
        <w:spacing w:after="0" w:line="240" w:lineRule="auto"/>
        <w:contextualSpacing/>
        <w:jc w:val="both"/>
        <w:rPr>
          <w:rFonts w:ascii="Arial" w:eastAsiaTheme="minorEastAsia" w:hAnsi="Arial" w:cs="Arial"/>
          <w:color w:val="000000"/>
          <w:sz w:val="24"/>
          <w:szCs w:val="24"/>
          <w:lang w:eastAsia="en-GB"/>
        </w:rPr>
      </w:pPr>
      <w:r w:rsidRPr="005E7254">
        <w:rPr>
          <w:rFonts w:ascii="Arial" w:eastAsiaTheme="minorEastAsia" w:hAnsi="Arial" w:cs="Arial"/>
          <w:color w:val="000000"/>
          <w:sz w:val="24"/>
          <w:szCs w:val="24"/>
          <w:lang w:eastAsia="en-GB"/>
        </w:rPr>
        <w:t>The Practice has implemented the following technical and organisational security measures to protect personal data:</w:t>
      </w:r>
    </w:p>
    <w:p w:rsidR="005E7254" w:rsidRPr="005E7254" w:rsidRDefault="00D86A35" w:rsidP="00D86A35">
      <w:pPr>
        <w:widowControl w:val="0"/>
        <w:numPr>
          <w:ilvl w:val="0"/>
          <w:numId w:val="28"/>
        </w:numPr>
        <w:autoSpaceDE w:val="0"/>
        <w:autoSpaceDN w:val="0"/>
        <w:adjustRightInd w:val="0"/>
        <w:spacing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Encryption of personal data.</w:t>
      </w:r>
    </w:p>
    <w:p w:rsidR="005E7254" w:rsidRPr="005E7254" w:rsidRDefault="005E7254" w:rsidP="00D86A35">
      <w:pPr>
        <w:widowControl w:val="0"/>
        <w:numPr>
          <w:ilvl w:val="0"/>
          <w:numId w:val="28"/>
        </w:numPr>
        <w:autoSpaceDE w:val="0"/>
        <w:autoSpaceDN w:val="0"/>
        <w:adjustRightInd w:val="0"/>
        <w:spacing w:after="0" w:line="240" w:lineRule="auto"/>
        <w:rPr>
          <w:rFonts w:ascii="Arial" w:eastAsiaTheme="minorEastAsia" w:hAnsi="Arial" w:cs="Arial"/>
          <w:sz w:val="24"/>
          <w:szCs w:val="24"/>
          <w:lang w:eastAsia="en-GB"/>
        </w:rPr>
      </w:pPr>
      <w:r w:rsidRPr="005E7254">
        <w:rPr>
          <w:rFonts w:ascii="Arial" w:eastAsiaTheme="minorEastAsia" w:hAnsi="Arial" w:cs="Arial"/>
          <w:sz w:val="24"/>
          <w:szCs w:val="24"/>
          <w:lang w:eastAsia="en-GB"/>
        </w:rPr>
        <w:t>Segregation of per</w:t>
      </w:r>
      <w:r w:rsidR="00D86A35">
        <w:rPr>
          <w:rFonts w:ascii="Arial" w:eastAsiaTheme="minorEastAsia" w:hAnsi="Arial" w:cs="Arial"/>
          <w:sz w:val="24"/>
          <w:szCs w:val="24"/>
          <w:lang w:eastAsia="en-GB"/>
        </w:rPr>
        <w:t>sonal data from other networks.</w:t>
      </w:r>
    </w:p>
    <w:p w:rsidR="005E7254" w:rsidRPr="005E7254" w:rsidRDefault="005E7254" w:rsidP="00D86A35">
      <w:pPr>
        <w:widowControl w:val="0"/>
        <w:numPr>
          <w:ilvl w:val="0"/>
          <w:numId w:val="28"/>
        </w:numPr>
        <w:autoSpaceDE w:val="0"/>
        <w:autoSpaceDN w:val="0"/>
        <w:adjustRightInd w:val="0"/>
        <w:spacing w:after="0" w:line="240" w:lineRule="auto"/>
        <w:rPr>
          <w:rFonts w:ascii="Arial" w:eastAsiaTheme="minorEastAsia" w:hAnsi="Arial" w:cs="Arial"/>
          <w:sz w:val="24"/>
          <w:szCs w:val="24"/>
          <w:lang w:eastAsia="en-GB"/>
        </w:rPr>
      </w:pPr>
      <w:r w:rsidRPr="005E7254">
        <w:rPr>
          <w:rFonts w:ascii="Arial" w:eastAsiaTheme="minorEastAsia" w:hAnsi="Arial" w:cs="Arial"/>
          <w:sz w:val="24"/>
          <w:szCs w:val="24"/>
          <w:lang w:eastAsia="en-GB"/>
        </w:rPr>
        <w:t>Access c</w:t>
      </w:r>
      <w:r w:rsidR="00D86A35">
        <w:rPr>
          <w:rFonts w:ascii="Arial" w:eastAsiaTheme="minorEastAsia" w:hAnsi="Arial" w:cs="Arial"/>
          <w:sz w:val="24"/>
          <w:szCs w:val="24"/>
          <w:lang w:eastAsia="en-GB"/>
        </w:rPr>
        <w:t>ontrol and user authentication.</w:t>
      </w:r>
    </w:p>
    <w:p w:rsidR="005E7254" w:rsidRPr="005E7254" w:rsidRDefault="005E7254" w:rsidP="00D86A35">
      <w:pPr>
        <w:widowControl w:val="0"/>
        <w:numPr>
          <w:ilvl w:val="0"/>
          <w:numId w:val="28"/>
        </w:numPr>
        <w:autoSpaceDE w:val="0"/>
        <w:autoSpaceDN w:val="0"/>
        <w:adjustRightInd w:val="0"/>
        <w:spacing w:after="0" w:line="240" w:lineRule="auto"/>
        <w:rPr>
          <w:rFonts w:ascii="Arial" w:eastAsiaTheme="minorEastAsia" w:hAnsi="Arial" w:cs="Arial"/>
          <w:sz w:val="24"/>
          <w:szCs w:val="24"/>
          <w:lang w:eastAsia="en-GB"/>
        </w:rPr>
      </w:pPr>
      <w:r w:rsidRPr="005E7254">
        <w:rPr>
          <w:rFonts w:ascii="Arial" w:eastAsiaTheme="minorEastAsia" w:hAnsi="Arial" w:cs="Arial"/>
          <w:sz w:val="24"/>
          <w:szCs w:val="24"/>
          <w:lang w:eastAsia="en-GB"/>
        </w:rPr>
        <w:t>Employee tr</w:t>
      </w:r>
      <w:r w:rsidR="00D86A35">
        <w:rPr>
          <w:rFonts w:ascii="Arial" w:eastAsiaTheme="minorEastAsia" w:hAnsi="Arial" w:cs="Arial"/>
          <w:sz w:val="24"/>
          <w:szCs w:val="24"/>
          <w:lang w:eastAsia="en-GB"/>
        </w:rPr>
        <w:t>aining on information security.</w:t>
      </w:r>
    </w:p>
    <w:p w:rsidR="005E7254" w:rsidRPr="005E7254" w:rsidRDefault="005E7254" w:rsidP="00D86A35">
      <w:pPr>
        <w:widowControl w:val="0"/>
        <w:numPr>
          <w:ilvl w:val="0"/>
          <w:numId w:val="28"/>
        </w:numPr>
        <w:autoSpaceDE w:val="0"/>
        <w:autoSpaceDN w:val="0"/>
        <w:adjustRightInd w:val="0"/>
        <w:spacing w:after="0" w:line="240" w:lineRule="auto"/>
        <w:rPr>
          <w:rFonts w:ascii="Arial" w:eastAsiaTheme="minorEastAsia" w:hAnsi="Arial" w:cs="Arial"/>
          <w:sz w:val="24"/>
          <w:szCs w:val="24"/>
          <w:lang w:eastAsia="en-GB"/>
        </w:rPr>
      </w:pPr>
      <w:r w:rsidRPr="005E7254">
        <w:rPr>
          <w:rFonts w:ascii="Arial" w:eastAsiaTheme="minorEastAsia" w:hAnsi="Arial" w:cs="Arial"/>
          <w:sz w:val="24"/>
          <w:szCs w:val="24"/>
          <w:lang w:eastAsia="en-GB"/>
        </w:rPr>
        <w:t xml:space="preserve">Written information security </w:t>
      </w:r>
      <w:r w:rsidR="00D86A35">
        <w:rPr>
          <w:rFonts w:ascii="Arial" w:eastAsiaTheme="minorEastAsia" w:hAnsi="Arial" w:cs="Arial"/>
          <w:sz w:val="24"/>
          <w:szCs w:val="24"/>
          <w:lang w:eastAsia="en-GB"/>
        </w:rPr>
        <w:t>policies and procedures.</w:t>
      </w:r>
    </w:p>
    <w:p w:rsidR="005E7254" w:rsidRPr="005E7254" w:rsidRDefault="005E7254" w:rsidP="005E7254">
      <w:pPr>
        <w:widowControl w:val="0"/>
        <w:autoSpaceDE w:val="0"/>
        <w:autoSpaceDN w:val="0"/>
        <w:adjustRightInd w:val="0"/>
        <w:spacing w:after="0" w:line="240" w:lineRule="auto"/>
        <w:ind w:left="792"/>
        <w:contextualSpacing/>
        <w:jc w:val="both"/>
        <w:rPr>
          <w:rFonts w:ascii="Arial" w:eastAsiaTheme="minorEastAsia" w:hAnsi="Arial" w:cs="Arial"/>
          <w:color w:val="000000"/>
          <w:sz w:val="24"/>
          <w:szCs w:val="24"/>
          <w:lang w:eastAsia="en-GB"/>
        </w:rPr>
      </w:pPr>
    </w:p>
    <w:p w:rsidR="005E7254" w:rsidRPr="005E7254" w:rsidRDefault="005E7254" w:rsidP="005E7254">
      <w:pPr>
        <w:widowControl w:val="0"/>
        <w:autoSpaceDE w:val="0"/>
        <w:autoSpaceDN w:val="0"/>
        <w:adjustRightInd w:val="0"/>
        <w:spacing w:after="0" w:line="240" w:lineRule="auto"/>
        <w:jc w:val="both"/>
        <w:rPr>
          <w:rFonts w:ascii="Arial" w:eastAsiaTheme="minorEastAsia" w:hAnsi="Arial" w:cs="Arial"/>
          <w:color w:val="000000"/>
          <w:sz w:val="24"/>
          <w:szCs w:val="24"/>
          <w:lang w:eastAsia="en-GB"/>
        </w:rPr>
      </w:pPr>
      <w:r w:rsidRPr="005E7254">
        <w:rPr>
          <w:rFonts w:ascii="Arial" w:eastAsiaTheme="minorEastAsia" w:hAnsi="Arial" w:cs="Arial"/>
          <w:b/>
          <w:bCs/>
          <w:color w:val="000000"/>
          <w:sz w:val="24"/>
          <w:szCs w:val="24"/>
          <w:u w:val="single"/>
          <w:lang w:eastAsia="en-GB"/>
        </w:rPr>
        <w:t>Changes to this Record of Processing Activities</w:t>
      </w:r>
      <w:r w:rsidRPr="005E7254">
        <w:rPr>
          <w:rFonts w:ascii="Arial" w:eastAsiaTheme="minorEastAsia" w:hAnsi="Arial" w:cs="Arial"/>
          <w:color w:val="000000"/>
          <w:sz w:val="24"/>
          <w:szCs w:val="24"/>
          <w:lang w:eastAsia="en-GB"/>
        </w:rPr>
        <w:t>  </w:t>
      </w:r>
    </w:p>
    <w:p w:rsidR="005E7254" w:rsidRPr="005E7254" w:rsidRDefault="005E7254" w:rsidP="005E7254">
      <w:pPr>
        <w:widowControl w:val="0"/>
        <w:numPr>
          <w:ilvl w:val="0"/>
          <w:numId w:val="25"/>
        </w:numPr>
        <w:autoSpaceDE w:val="0"/>
        <w:autoSpaceDN w:val="0"/>
        <w:adjustRightInd w:val="0"/>
        <w:spacing w:after="0" w:line="240" w:lineRule="auto"/>
        <w:contextualSpacing/>
        <w:jc w:val="both"/>
        <w:rPr>
          <w:rFonts w:ascii="Arial" w:eastAsiaTheme="minorEastAsia" w:hAnsi="Arial" w:cs="Arial"/>
          <w:color w:val="000000"/>
          <w:sz w:val="24"/>
          <w:szCs w:val="24"/>
          <w:lang w:eastAsia="en-GB"/>
        </w:rPr>
      </w:pPr>
      <w:r w:rsidRPr="005E7254">
        <w:rPr>
          <w:rFonts w:ascii="Arial" w:eastAsiaTheme="minorEastAsia" w:hAnsi="Arial" w:cs="Arial"/>
          <w:color w:val="000000"/>
          <w:sz w:val="24"/>
          <w:szCs w:val="24"/>
          <w:lang w:eastAsia="en-GB"/>
        </w:rPr>
        <w:t>The Practice reserves the right to amend this Record of Processing Activities from time to time consistent with the GDPR and other applicable data protection requirements.</w:t>
      </w:r>
    </w:p>
    <w:p w:rsidR="005E7254" w:rsidRPr="005E7254" w:rsidRDefault="005E7254" w:rsidP="005E7254">
      <w:pPr>
        <w:widowControl w:val="0"/>
        <w:autoSpaceDE w:val="0"/>
        <w:autoSpaceDN w:val="0"/>
        <w:adjustRightInd w:val="0"/>
        <w:spacing w:after="0" w:line="240" w:lineRule="auto"/>
        <w:jc w:val="both"/>
        <w:rPr>
          <w:rFonts w:ascii="Arial" w:eastAsiaTheme="minorEastAsia" w:hAnsi="Arial" w:cs="Arial"/>
          <w:color w:val="000000"/>
          <w:sz w:val="20"/>
          <w:szCs w:val="20"/>
          <w:lang w:eastAsia="en-GB"/>
        </w:rPr>
      </w:pPr>
      <w:r w:rsidRPr="005E7254">
        <w:rPr>
          <w:rFonts w:ascii="Arial" w:eastAsiaTheme="minorEastAsia" w:hAnsi="Arial" w:cs="Arial"/>
          <w:color w:val="000000"/>
          <w:sz w:val="20"/>
          <w:szCs w:val="20"/>
          <w:lang w:eastAsia="en-GB"/>
        </w:rPr>
        <w:t> </w:t>
      </w:r>
    </w:p>
    <w:p w:rsidR="005E7254" w:rsidRPr="005E7254" w:rsidRDefault="005E7254" w:rsidP="005E7254">
      <w:pPr>
        <w:widowControl w:val="0"/>
        <w:autoSpaceDE w:val="0"/>
        <w:autoSpaceDN w:val="0"/>
        <w:adjustRightInd w:val="0"/>
        <w:spacing w:after="0" w:line="240" w:lineRule="auto"/>
        <w:jc w:val="both"/>
        <w:rPr>
          <w:rFonts w:ascii="Arial" w:eastAsiaTheme="minorEastAsia" w:hAnsi="Arial" w:cs="Arial"/>
          <w:color w:val="000000"/>
          <w:sz w:val="20"/>
          <w:szCs w:val="20"/>
          <w:lang w:eastAsia="en-GB"/>
        </w:rPr>
      </w:pPr>
      <w:r w:rsidRPr="005E7254">
        <w:rPr>
          <w:rFonts w:ascii="Arial" w:eastAsiaTheme="minorEastAsia" w:hAnsi="Arial" w:cs="Arial"/>
          <w:color w:val="000000"/>
          <w:sz w:val="20"/>
          <w:szCs w:val="20"/>
          <w:lang w:eastAsia="en-GB"/>
        </w:rPr>
        <w:t> </w:t>
      </w:r>
    </w:p>
    <w:p w:rsidR="005E7254" w:rsidRPr="005E7254" w:rsidRDefault="005E7254" w:rsidP="005E7254">
      <w:pPr>
        <w:spacing w:after="160" w:line="259" w:lineRule="auto"/>
        <w:rPr>
          <w:rFonts w:ascii="Arial" w:eastAsiaTheme="minorEastAsia" w:hAnsi="Arial" w:cs="Arial"/>
          <w:sz w:val="20"/>
          <w:szCs w:val="20"/>
          <w:lang w:eastAsia="en-GB"/>
        </w:rPr>
      </w:pPr>
    </w:p>
    <w:p w:rsidR="005E7254" w:rsidRPr="005E7254" w:rsidRDefault="005E7254" w:rsidP="005E7254">
      <w:pPr>
        <w:spacing w:after="160" w:line="259" w:lineRule="auto"/>
        <w:rPr>
          <w:rFonts w:eastAsiaTheme="minorEastAsia"/>
          <w:lang w:eastAsia="en-GB"/>
        </w:rPr>
      </w:pPr>
    </w:p>
    <w:p w:rsidR="005E7254" w:rsidRPr="00530258" w:rsidRDefault="005E7254" w:rsidP="003C3BB9">
      <w:pPr>
        <w:spacing w:after="0" w:line="240" w:lineRule="auto"/>
        <w:jc w:val="both"/>
        <w:rPr>
          <w:rFonts w:ascii="Arial" w:hAnsi="Arial" w:cs="Arial"/>
          <w:sz w:val="24"/>
          <w:szCs w:val="24"/>
        </w:rPr>
      </w:pPr>
    </w:p>
    <w:sectPr w:rsidR="005E7254" w:rsidRPr="00530258" w:rsidSect="00FA20E3">
      <w:headerReference w:type="default" r:id="rId11"/>
      <w:footerReference w:type="default" r:id="rId12"/>
      <w:pgSz w:w="11906" w:h="16838"/>
      <w:pgMar w:top="720" w:right="720" w:bottom="720" w:left="720" w:header="708"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8E4" w:rsidRDefault="007B48E4" w:rsidP="00354EB6">
      <w:pPr>
        <w:spacing w:after="0" w:line="240" w:lineRule="auto"/>
      </w:pPr>
      <w:r>
        <w:separator/>
      </w:r>
    </w:p>
  </w:endnote>
  <w:endnote w:type="continuationSeparator" w:id="0">
    <w:p w:rsidR="007B48E4" w:rsidRDefault="007B48E4" w:rsidP="0035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584516"/>
      <w:docPartObj>
        <w:docPartGallery w:val="Page Numbers (Bottom of Page)"/>
        <w:docPartUnique/>
      </w:docPartObj>
    </w:sdtPr>
    <w:sdtEndPr>
      <w:rPr>
        <w:noProof/>
      </w:rPr>
    </w:sdtEndPr>
    <w:sdtContent>
      <w:p w:rsidR="00FA20E3" w:rsidRDefault="00FA20E3" w:rsidP="00FA20E3">
        <w:pPr>
          <w:pStyle w:val="Footer"/>
          <w:pBdr>
            <w:bottom w:val="single" w:sz="12" w:space="1" w:color="auto"/>
          </w:pBdr>
        </w:pPr>
      </w:p>
      <w:p w:rsidR="00FA20E3" w:rsidRDefault="00FA20E3" w:rsidP="00FA20E3">
        <w:pPr>
          <w:pStyle w:val="Footer"/>
        </w:pPr>
      </w:p>
      <w:p w:rsidR="00FA20E3" w:rsidRPr="00FA20E3" w:rsidRDefault="00CC77A0" w:rsidP="00FA20E3">
        <w:pPr>
          <w:pStyle w:val="Footer"/>
          <w:rPr>
            <w:sz w:val="18"/>
            <w:szCs w:val="18"/>
          </w:rPr>
        </w:pPr>
        <w:r>
          <w:rPr>
            <w:sz w:val="18"/>
            <w:szCs w:val="18"/>
          </w:rPr>
          <w:t>Version 2</w:t>
        </w:r>
        <w:r w:rsidR="00FA20E3" w:rsidRPr="00FA20E3">
          <w:rPr>
            <w:sz w:val="18"/>
            <w:szCs w:val="18"/>
          </w:rPr>
          <w:t>.0</w:t>
        </w:r>
      </w:p>
      <w:p w:rsidR="00FA20E3" w:rsidRPr="00FA20E3" w:rsidRDefault="004004E2" w:rsidP="00FA20E3">
        <w:pPr>
          <w:pStyle w:val="Footer"/>
          <w:rPr>
            <w:sz w:val="18"/>
            <w:szCs w:val="18"/>
          </w:rPr>
        </w:pPr>
        <w:r>
          <w:rPr>
            <w:sz w:val="18"/>
            <w:szCs w:val="18"/>
          </w:rPr>
          <w:t>Date Published 9 March 2020</w:t>
        </w:r>
      </w:p>
      <w:p w:rsidR="00FA20E3" w:rsidRDefault="00FA20E3">
        <w:pPr>
          <w:pStyle w:val="Footer"/>
          <w:jc w:val="right"/>
        </w:pPr>
        <w:r>
          <w:fldChar w:fldCharType="begin"/>
        </w:r>
        <w:r>
          <w:instrText xml:space="preserve"> PAGE   \* MERGEFORMAT </w:instrText>
        </w:r>
        <w:r>
          <w:fldChar w:fldCharType="separate"/>
        </w:r>
        <w:r w:rsidR="00D86A35">
          <w:rPr>
            <w:noProof/>
          </w:rPr>
          <w:t>1</w:t>
        </w:r>
        <w:r>
          <w:rPr>
            <w:noProof/>
          </w:rPr>
          <w:fldChar w:fldCharType="end"/>
        </w:r>
      </w:p>
    </w:sdtContent>
  </w:sdt>
  <w:p w:rsidR="00FA20E3" w:rsidRPr="00FA20E3" w:rsidRDefault="00FA20E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8E4" w:rsidRDefault="007B48E4" w:rsidP="00354EB6">
      <w:pPr>
        <w:spacing w:after="0" w:line="240" w:lineRule="auto"/>
      </w:pPr>
      <w:r>
        <w:separator/>
      </w:r>
    </w:p>
  </w:footnote>
  <w:footnote w:type="continuationSeparator" w:id="0">
    <w:p w:rsidR="007B48E4" w:rsidRDefault="007B48E4" w:rsidP="00354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E2" w:rsidRDefault="004004E2" w:rsidP="004004E2">
    <w:pPr>
      <w:pStyle w:val="Header"/>
      <w:jc w:val="right"/>
      <w:rPr>
        <w:color w:val="365F91" w:themeColor="accent1" w:themeShade="BF"/>
      </w:rPr>
    </w:pPr>
    <w:r>
      <w:rPr>
        <w:noProof/>
        <w:color w:val="4F81BD" w:themeColor="accent1"/>
        <w:lang w:eastAsia="en-GB"/>
      </w:rPr>
      <w:drawing>
        <wp:anchor distT="0" distB="0" distL="114300" distR="114300" simplePos="0" relativeHeight="251660288" behindDoc="1" locked="0" layoutInCell="1" allowOverlap="1" wp14:anchorId="043B95C3" wp14:editId="7CED0778">
          <wp:simplePos x="0" y="0"/>
          <wp:positionH relativeFrom="margin">
            <wp:posOffset>-219075</wp:posOffset>
          </wp:positionH>
          <wp:positionV relativeFrom="margin">
            <wp:posOffset>-857250</wp:posOffset>
          </wp:positionV>
          <wp:extent cx="2305050" cy="962025"/>
          <wp:effectExtent l="0" t="0" r="0" b="9525"/>
          <wp:wrapTight wrapText="bothSides">
            <wp:wrapPolygon edited="0">
              <wp:start x="0" y="0"/>
              <wp:lineTo x="0" y="21386"/>
              <wp:lineTo x="21421" y="21386"/>
              <wp:lineTo x="21421" y="0"/>
              <wp:lineTo x="0" y="0"/>
            </wp:wrapPolygon>
          </wp:wrapTight>
          <wp:docPr id="5" name="Picture 5" descr="\\j82138dc\PMShare\Whitewater Health\GIFlogoColor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82138dc\PMShare\Whitewater Health\GIFlogoColorLarg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6A35">
      <w:rPr>
        <w:b/>
        <w:color w:val="002060"/>
      </w:rPr>
      <w:t xml:space="preserve">GDPR.4 - </w:t>
    </w:r>
    <w:sdt>
      <w:sdtPr>
        <w:rPr>
          <w:b/>
          <w:color w:val="002060"/>
        </w:rPr>
        <w:alias w:val="Title"/>
        <w:id w:val="79116639"/>
        <w:placeholder>
          <w:docPart w:val="5D5D0F3D30934EBEA1BA3720CA93B4B3"/>
        </w:placeholder>
        <w:dataBinding w:prefixMappings="xmlns:ns0='http://schemas.openxmlformats.org/package/2006/metadata/core-properties' xmlns:ns1='http://purl.org/dc/elements/1.1/'" w:xpath="/ns0:coreProperties[1]/ns1:title[1]" w:storeItemID="{6C3C8BC8-F283-45AE-878A-BAB7291924A1}"/>
        <w:text/>
      </w:sdtPr>
      <w:sdtEndPr/>
      <w:sdtContent>
        <w:r w:rsidR="005E7254">
          <w:rPr>
            <w:b/>
            <w:color w:val="002060"/>
          </w:rPr>
          <w:t>Record Processing Activities</w:t>
        </w:r>
      </w:sdtContent>
    </w:sdt>
  </w:p>
  <w:p w:rsidR="00354EB6" w:rsidRDefault="00354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C3D135"/>
    <w:multiLevelType w:val="singleLevel"/>
    <w:tmpl w:val="DA7463B2"/>
    <w:lvl w:ilvl="0">
      <w:numFmt w:val="decimal"/>
      <w:lvlText w:val="•"/>
      <w:lvlJc w:val="left"/>
    </w:lvl>
  </w:abstractNum>
  <w:abstractNum w:abstractNumId="1">
    <w:nsid w:val="B942C72D"/>
    <w:multiLevelType w:val="singleLevel"/>
    <w:tmpl w:val="6886C55F"/>
    <w:lvl w:ilvl="0">
      <w:numFmt w:val="decimal"/>
      <w:lvlText w:val="•"/>
      <w:lvlJc w:val="left"/>
    </w:lvl>
  </w:abstractNum>
  <w:abstractNum w:abstractNumId="2">
    <w:nsid w:val="DCBAC8D6"/>
    <w:multiLevelType w:val="singleLevel"/>
    <w:tmpl w:val="D498493F"/>
    <w:lvl w:ilvl="0">
      <w:numFmt w:val="decimal"/>
      <w:lvlText w:val="•"/>
      <w:lvlJc w:val="left"/>
    </w:lvl>
  </w:abstractNum>
  <w:abstractNum w:abstractNumId="3">
    <w:nsid w:val="FE432490"/>
    <w:multiLevelType w:val="singleLevel"/>
    <w:tmpl w:val="6905F0E2"/>
    <w:lvl w:ilvl="0">
      <w:numFmt w:val="decimal"/>
      <w:lvlText w:val="•"/>
      <w:lvlJc w:val="left"/>
    </w:lvl>
  </w:abstractNum>
  <w:abstractNum w:abstractNumId="4">
    <w:nsid w:val="05AC420E"/>
    <w:multiLevelType w:val="multilevel"/>
    <w:tmpl w:val="B016BCBC"/>
    <w:lvl w:ilvl="0">
      <w:start w:val="1"/>
      <w:numFmt w:val="bullet"/>
      <w:lvlText w:val=""/>
      <w:lvlJc w:val="left"/>
      <w:pPr>
        <w:ind w:left="1080" w:hanging="360"/>
      </w:pPr>
      <w:rPr>
        <w:rFonts w:ascii="Symbol" w:hAnsi="Symbol" w:hint="default"/>
        <w:b w:val="0"/>
      </w:rPr>
    </w:lvl>
    <w:lvl w:ilvl="1">
      <w:start w:val="1"/>
      <w:numFmt w:val="decimal"/>
      <w:lvlText w:val="%1.%2."/>
      <w:lvlJc w:val="left"/>
      <w:pPr>
        <w:ind w:left="1512" w:hanging="432"/>
      </w:pPr>
      <w:rPr>
        <w:b w:val="0"/>
      </w:rPr>
    </w:lvl>
    <w:lvl w:ilvl="2">
      <w:start w:val="1"/>
      <w:numFmt w:val="decimal"/>
      <w:lvlText w:val="%1.%2.%3."/>
      <w:lvlJc w:val="left"/>
      <w:pPr>
        <w:ind w:left="1944" w:hanging="504"/>
      </w:pPr>
      <w:rPr>
        <w:b w:val="0"/>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nsid w:val="0D5524D8"/>
    <w:multiLevelType w:val="hybridMultilevel"/>
    <w:tmpl w:val="32C05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E2C5385"/>
    <w:multiLevelType w:val="hybridMultilevel"/>
    <w:tmpl w:val="A118A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3C2E23"/>
    <w:multiLevelType w:val="hybridMultilevel"/>
    <w:tmpl w:val="50400E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415B1D1"/>
    <w:multiLevelType w:val="singleLevel"/>
    <w:tmpl w:val="F3FB1A82"/>
    <w:lvl w:ilvl="0">
      <w:numFmt w:val="decimal"/>
      <w:lvlText w:val="•"/>
      <w:lvlJc w:val="left"/>
    </w:lvl>
  </w:abstractNum>
  <w:abstractNum w:abstractNumId="9">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783948"/>
    <w:multiLevelType w:val="multilevel"/>
    <w:tmpl w:val="834A4B7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B48807F"/>
    <w:multiLevelType w:val="singleLevel"/>
    <w:tmpl w:val="0916A4A1"/>
    <w:lvl w:ilvl="0">
      <w:numFmt w:val="decimal"/>
      <w:lvlText w:val="•"/>
      <w:lvlJc w:val="left"/>
    </w:lvl>
  </w:abstractNum>
  <w:abstractNum w:abstractNumId="12">
    <w:nsid w:val="1CEA7101"/>
    <w:multiLevelType w:val="hybridMultilevel"/>
    <w:tmpl w:val="F1D6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0B28D4"/>
    <w:multiLevelType w:val="multilevel"/>
    <w:tmpl w:val="FE5CDA0E"/>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173BE"/>
    <w:multiLevelType w:val="hybridMultilevel"/>
    <w:tmpl w:val="0A141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0B3788D"/>
    <w:multiLevelType w:val="hybridMultilevel"/>
    <w:tmpl w:val="1C10FD26"/>
    <w:lvl w:ilvl="0" w:tplc="40C66824">
      <w:numFmt w:val="bullet"/>
      <w:lvlText w:val="•"/>
      <w:lvlJc w:val="left"/>
      <w:pPr>
        <w:ind w:left="1512" w:hanging="720"/>
      </w:pPr>
      <w:rPr>
        <w:rFonts w:ascii="Calibri" w:eastAsia="Calibri" w:hAnsi="Calibri" w:cs="Calibri"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6">
    <w:nsid w:val="3336D83E"/>
    <w:multiLevelType w:val="singleLevel"/>
    <w:tmpl w:val="0165EA1A"/>
    <w:lvl w:ilvl="0">
      <w:numFmt w:val="decimal"/>
      <w:lvlText w:val="•"/>
      <w:lvlJc w:val="left"/>
    </w:lvl>
  </w:abstractNum>
  <w:abstractNum w:abstractNumId="17">
    <w:nsid w:val="33707E91"/>
    <w:multiLevelType w:val="multilevel"/>
    <w:tmpl w:val="D14E41FA"/>
    <w:lvl w:ilvl="0">
      <w:start w:val="1"/>
      <w:numFmt w:val="decimal"/>
      <w:lvlText w:val="%1"/>
      <w:lvlJc w:val="left"/>
      <w:pPr>
        <w:ind w:left="405" w:hanging="405"/>
      </w:pPr>
      <w:rPr>
        <w:rFonts w:hint="default"/>
      </w:rPr>
    </w:lvl>
    <w:lvl w:ilvl="1">
      <w:start w:val="1"/>
      <w:numFmt w:val="decimal"/>
      <w:lvlText w:val="%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8C4EBF"/>
    <w:multiLevelType w:val="hybridMultilevel"/>
    <w:tmpl w:val="6BA2A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8B23AC6"/>
    <w:multiLevelType w:val="hybridMultilevel"/>
    <w:tmpl w:val="ED1A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4C5426"/>
    <w:multiLevelType w:val="multilevel"/>
    <w:tmpl w:val="EB8E276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B7F0014"/>
    <w:multiLevelType w:val="multilevel"/>
    <w:tmpl w:val="CB54CA2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FB7653D"/>
    <w:multiLevelType w:val="hybridMultilevel"/>
    <w:tmpl w:val="3D52F3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51F43449"/>
    <w:multiLevelType w:val="hybridMultilevel"/>
    <w:tmpl w:val="33C0AB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592DE1CC"/>
    <w:multiLevelType w:val="singleLevel"/>
    <w:tmpl w:val="13A9BA45"/>
    <w:lvl w:ilvl="0">
      <w:numFmt w:val="decimal"/>
      <w:lvlText w:val="•"/>
      <w:lvlJc w:val="left"/>
    </w:lvl>
  </w:abstractNum>
  <w:abstractNum w:abstractNumId="25">
    <w:nsid w:val="5E5E096C"/>
    <w:multiLevelType w:val="hybridMultilevel"/>
    <w:tmpl w:val="619E7F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08F0738"/>
    <w:multiLevelType w:val="hybridMultilevel"/>
    <w:tmpl w:val="19C27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0C413AA"/>
    <w:multiLevelType w:val="hybridMultilevel"/>
    <w:tmpl w:val="0D0CD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1D871DE"/>
    <w:multiLevelType w:val="hybridMultilevel"/>
    <w:tmpl w:val="2F6A7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DE35C1C"/>
    <w:multiLevelType w:val="hybridMultilevel"/>
    <w:tmpl w:val="E5DE31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E9E470B"/>
    <w:multiLevelType w:val="hybridMultilevel"/>
    <w:tmpl w:val="4F2CB3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9"/>
  </w:num>
  <w:num w:numId="4">
    <w:abstractNumId w:val="25"/>
  </w:num>
  <w:num w:numId="5">
    <w:abstractNumId w:val="26"/>
  </w:num>
  <w:num w:numId="6">
    <w:abstractNumId w:val="18"/>
  </w:num>
  <w:num w:numId="7">
    <w:abstractNumId w:val="9"/>
  </w:num>
  <w:num w:numId="8">
    <w:abstractNumId w:val="5"/>
  </w:num>
  <w:num w:numId="9">
    <w:abstractNumId w:val="29"/>
  </w:num>
  <w:num w:numId="10">
    <w:abstractNumId w:val="13"/>
  </w:num>
  <w:num w:numId="11">
    <w:abstractNumId w:val="30"/>
  </w:num>
  <w:num w:numId="12">
    <w:abstractNumId w:val="23"/>
  </w:num>
  <w:num w:numId="13">
    <w:abstractNumId w:val="21"/>
  </w:num>
  <w:num w:numId="14">
    <w:abstractNumId w:val="15"/>
  </w:num>
  <w:num w:numId="15">
    <w:abstractNumId w:val="28"/>
  </w:num>
  <w:num w:numId="16">
    <w:abstractNumId w:val="4"/>
  </w:num>
  <w:num w:numId="17">
    <w:abstractNumId w:val="0"/>
  </w:num>
  <w:num w:numId="18">
    <w:abstractNumId w:val="2"/>
  </w:num>
  <w:num w:numId="19">
    <w:abstractNumId w:val="24"/>
  </w:num>
  <w:num w:numId="20">
    <w:abstractNumId w:val="11"/>
  </w:num>
  <w:num w:numId="21">
    <w:abstractNumId w:val="3"/>
  </w:num>
  <w:num w:numId="22">
    <w:abstractNumId w:val="1"/>
  </w:num>
  <w:num w:numId="23">
    <w:abstractNumId w:val="16"/>
  </w:num>
  <w:num w:numId="24">
    <w:abstractNumId w:val="8"/>
  </w:num>
  <w:num w:numId="25">
    <w:abstractNumId w:val="10"/>
  </w:num>
  <w:num w:numId="26">
    <w:abstractNumId w:val="6"/>
  </w:num>
  <w:num w:numId="27">
    <w:abstractNumId w:val="20"/>
  </w:num>
  <w:num w:numId="28">
    <w:abstractNumId w:val="12"/>
  </w:num>
  <w:num w:numId="29">
    <w:abstractNumId w:val="27"/>
  </w:num>
  <w:num w:numId="30">
    <w:abstractNumId w:val="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B6"/>
    <w:rsid w:val="000324B8"/>
    <w:rsid w:val="001A7C13"/>
    <w:rsid w:val="00261871"/>
    <w:rsid w:val="002C7038"/>
    <w:rsid w:val="00344084"/>
    <w:rsid w:val="00352F76"/>
    <w:rsid w:val="00354EB6"/>
    <w:rsid w:val="00356126"/>
    <w:rsid w:val="003C3BB9"/>
    <w:rsid w:val="004004E2"/>
    <w:rsid w:val="00421CEC"/>
    <w:rsid w:val="00463D6A"/>
    <w:rsid w:val="00530258"/>
    <w:rsid w:val="00534431"/>
    <w:rsid w:val="005E7254"/>
    <w:rsid w:val="006914F1"/>
    <w:rsid w:val="00734EAC"/>
    <w:rsid w:val="007B48E4"/>
    <w:rsid w:val="008173BD"/>
    <w:rsid w:val="00863803"/>
    <w:rsid w:val="008813DD"/>
    <w:rsid w:val="008D598E"/>
    <w:rsid w:val="009706AB"/>
    <w:rsid w:val="00972661"/>
    <w:rsid w:val="00CB61DF"/>
    <w:rsid w:val="00CC77A0"/>
    <w:rsid w:val="00D86A35"/>
    <w:rsid w:val="00E17323"/>
    <w:rsid w:val="00FA2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3C3BB9"/>
    <w:pPr>
      <w:spacing w:after="0"/>
      <w:ind w:left="720"/>
      <w:contextualSpacing/>
    </w:pPr>
    <w:rPr>
      <w:rFonts w:ascii="Arial" w:eastAsia="Arial" w:hAnsi="Arial" w:cs="Arial"/>
      <w:color w:val="000000"/>
    </w:rPr>
  </w:style>
  <w:style w:type="character" w:styleId="Hyperlink">
    <w:name w:val="Hyperlink"/>
    <w:basedOn w:val="DefaultParagraphFont"/>
    <w:uiPriority w:val="99"/>
    <w:unhideWhenUsed/>
    <w:rsid w:val="003C3BB9"/>
    <w:rPr>
      <w:color w:val="0000FF" w:themeColor="hyperlink"/>
      <w:u w:val="single"/>
    </w:rPr>
  </w:style>
  <w:style w:type="table" w:styleId="TableGrid">
    <w:name w:val="Table Grid"/>
    <w:basedOn w:val="TableNormal"/>
    <w:uiPriority w:val="39"/>
    <w:rsid w:val="00530258"/>
    <w:pPr>
      <w:spacing w:after="0" w:line="240" w:lineRule="auto"/>
    </w:pPr>
    <w:rPr>
      <w:rFonts w:ascii="Arial" w:eastAsia="Arial" w:hAnsi="Arial" w:cs="Arial"/>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53025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3-Accent4">
    <w:name w:val="Medium Grid 3 Accent 4"/>
    <w:basedOn w:val="TableNormal"/>
    <w:uiPriority w:val="69"/>
    <w:rsid w:val="005302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3C3BB9"/>
    <w:pPr>
      <w:spacing w:after="0"/>
      <w:ind w:left="720"/>
      <w:contextualSpacing/>
    </w:pPr>
    <w:rPr>
      <w:rFonts w:ascii="Arial" w:eastAsia="Arial" w:hAnsi="Arial" w:cs="Arial"/>
      <w:color w:val="000000"/>
    </w:rPr>
  </w:style>
  <w:style w:type="character" w:styleId="Hyperlink">
    <w:name w:val="Hyperlink"/>
    <w:basedOn w:val="DefaultParagraphFont"/>
    <w:uiPriority w:val="99"/>
    <w:unhideWhenUsed/>
    <w:rsid w:val="003C3BB9"/>
    <w:rPr>
      <w:color w:val="0000FF" w:themeColor="hyperlink"/>
      <w:u w:val="single"/>
    </w:rPr>
  </w:style>
  <w:style w:type="table" w:styleId="TableGrid">
    <w:name w:val="Table Grid"/>
    <w:basedOn w:val="TableNormal"/>
    <w:uiPriority w:val="39"/>
    <w:rsid w:val="00530258"/>
    <w:pPr>
      <w:spacing w:after="0" w:line="240" w:lineRule="auto"/>
    </w:pPr>
    <w:rPr>
      <w:rFonts w:ascii="Arial" w:eastAsia="Arial" w:hAnsi="Arial" w:cs="Arial"/>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53025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3-Accent4">
    <w:name w:val="Medium Grid 3 Accent 4"/>
    <w:basedOn w:val="TableNormal"/>
    <w:uiPriority w:val="69"/>
    <w:rsid w:val="005302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whitewaterhealth.nhs.uk/" TargetMode="External"/><Relationship Id="rId4" Type="http://schemas.microsoft.com/office/2007/relationships/stylesWithEffects" Target="stylesWithEffects.xml"/><Relationship Id="rId9" Type="http://schemas.openxmlformats.org/officeDocument/2006/relationships/hyperlink" Target="mailto:nhccg.whitewaterhealth@nhs.net"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5D0F3D30934EBEA1BA3720CA93B4B3"/>
        <w:category>
          <w:name w:val="General"/>
          <w:gallery w:val="placeholder"/>
        </w:category>
        <w:types>
          <w:type w:val="bbPlcHdr"/>
        </w:types>
        <w:behaviors>
          <w:behavior w:val="content"/>
        </w:behaviors>
        <w:guid w:val="{2490CC25-0319-44AF-A49F-C80A6A026001}"/>
      </w:docPartPr>
      <w:docPartBody>
        <w:p w:rsidR="00DD5EBB" w:rsidRDefault="00955FE4" w:rsidP="00955FE4">
          <w:pPr>
            <w:pStyle w:val="5D5D0F3D30934EBEA1BA3720CA93B4B3"/>
          </w:pPr>
          <w:r>
            <w:rPr>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E4"/>
    <w:rsid w:val="00955FE4"/>
    <w:rsid w:val="00DD5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5D0F3D30934EBEA1BA3720CA93B4B3">
    <w:name w:val="5D5D0F3D30934EBEA1BA3720CA93B4B3"/>
    <w:rsid w:val="00955F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5D0F3D30934EBEA1BA3720CA93B4B3">
    <w:name w:val="5D5D0F3D30934EBEA1BA3720CA93B4B3"/>
    <w:rsid w:val="00955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F5049-FE6A-4E81-985F-4B48D5B9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Website Privacy Statement</vt:lpstr>
    </vt:vector>
  </TitlesOfParts>
  <Company>WWH</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Processing Activities</dc:title>
  <dc:creator>FOX, Joanna (WHITEWATER HEALTH)</dc:creator>
  <cp:lastModifiedBy>NHS</cp:lastModifiedBy>
  <cp:revision>3</cp:revision>
  <cp:lastPrinted>2018-04-19T09:21:00Z</cp:lastPrinted>
  <dcterms:created xsi:type="dcterms:W3CDTF">2020-03-09T13:56:00Z</dcterms:created>
  <dcterms:modified xsi:type="dcterms:W3CDTF">2020-03-09T14:00:00Z</dcterms:modified>
</cp:coreProperties>
</file>